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4000000">
      <w:pPr>
        <w:ind/>
        <w:jc w:val="center"/>
        <w:rPr>
          <w:sz w:val="28"/>
        </w:rPr>
      </w:pPr>
      <w:r>
        <w:rPr>
          <w:b w:val="1"/>
        </w:rPr>
        <w:drawing>
          <wp:inline>
            <wp:extent cx="509269" cy="888364"/>
            <wp:effectExtent b="0" l="0" r="0" t="0"/>
            <wp:docPr hidden="false" id="2" name="Picture 2"/>
            <a:graphic>
              <a:graphicData uri="http://schemas.openxmlformats.org/drawingml/2006/picture">
                <pic:pic>
                  <pic:nvPicPr>
                    <pic:cNvPr hidden="false" id="1" name="Picture 1"/>
                    <pic:cNvPicPr preferRelativeResize="true"/>
                  </pic:nvPicPr>
                  <pic:blipFill>
                    <a:blip r:embed="rId4"/>
                    <a:srcRect b="0" l="0" r="0" t="0"/>
                    <a:stretch/>
                  </pic:blipFill>
                  <pic:spPr>
                    <a:xfrm flipH="false" flipV="false" rot="0">
                      <a:ext cx="509269" cy="888364"/>
                    </a:xfrm>
                    <a:prstGeom prst="rect"/>
                  </pic:spPr>
                </pic:pic>
              </a:graphicData>
            </a:graphic>
          </wp:inline>
        </w:drawing>
      </w:r>
    </w:p>
    <w:p w14:paraId="05000000">
      <w:pPr>
        <w:ind/>
        <w:jc w:val="center"/>
        <w:rPr>
          <w:b w:val="1"/>
          <w:sz w:val="28"/>
        </w:rPr>
      </w:pPr>
      <w:r>
        <w:rPr>
          <w:b w:val="1"/>
          <w:sz w:val="28"/>
        </w:rPr>
        <w:t>РОССИЙСКАЯ</w:t>
      </w:r>
      <w:r>
        <w:rPr>
          <w:b w:val="1"/>
          <w:sz w:val="28"/>
        </w:rPr>
        <w:t xml:space="preserve"> ФЕДЕРАЦИЯ</w:t>
      </w:r>
    </w:p>
    <w:p w14:paraId="06000000">
      <w:pPr>
        <w:ind/>
        <w:jc w:val="center"/>
        <w:rPr>
          <w:b w:val="1"/>
          <w:sz w:val="28"/>
        </w:rPr>
      </w:pPr>
      <w:r>
        <w:rPr>
          <w:b w:val="1"/>
          <w:sz w:val="28"/>
        </w:rPr>
        <w:t>РОСТОВСКАЯ  ОБЛАСТЬ</w:t>
      </w:r>
    </w:p>
    <w:p w14:paraId="07000000">
      <w:pPr>
        <w:ind/>
        <w:jc w:val="center"/>
        <w:rPr>
          <w:b w:val="1"/>
          <w:sz w:val="28"/>
        </w:rPr>
      </w:pPr>
      <w:r>
        <w:rPr>
          <w:b w:val="1"/>
          <w:sz w:val="28"/>
        </w:rPr>
        <w:t>ОКТЯБРЬСКИЙ РАЙОН</w:t>
      </w:r>
    </w:p>
    <w:p w14:paraId="08000000">
      <w:pPr>
        <w:ind/>
        <w:jc w:val="center"/>
        <w:rPr>
          <w:b w:val="1"/>
          <w:sz w:val="28"/>
        </w:rPr>
      </w:pPr>
      <w:r>
        <w:rPr>
          <w:b w:val="1"/>
          <w:sz w:val="28"/>
        </w:rPr>
        <w:t>Муниципальное  образование  «</w:t>
      </w:r>
      <w:r>
        <w:rPr>
          <w:b w:val="1"/>
          <w:sz w:val="28"/>
        </w:rPr>
        <w:t>Мокрологское</w:t>
      </w:r>
      <w:r>
        <w:rPr>
          <w:b w:val="1"/>
          <w:sz w:val="28"/>
        </w:rPr>
        <w:t xml:space="preserve"> сельское поселение</w:t>
      </w:r>
      <w:r>
        <w:rPr>
          <w:b w:val="1"/>
          <w:sz w:val="28"/>
        </w:rPr>
        <w:t>»</w:t>
      </w:r>
    </w:p>
    <w:p w14:paraId="09000000">
      <w:pPr>
        <w:ind/>
        <w:jc w:val="center"/>
        <w:rPr>
          <w:b w:val="1"/>
          <w:sz w:val="28"/>
        </w:rPr>
      </w:pPr>
      <w:r>
        <w:rPr>
          <w:b w:val="1"/>
          <w:sz w:val="28"/>
        </w:rPr>
        <w:t xml:space="preserve">Администрация  </w:t>
      </w:r>
      <w:r>
        <w:rPr>
          <w:b w:val="1"/>
          <w:sz w:val="28"/>
        </w:rPr>
        <w:t>Мокрологского</w:t>
      </w:r>
      <w:r>
        <w:rPr>
          <w:b w:val="1"/>
          <w:sz w:val="28"/>
        </w:rPr>
        <w:t xml:space="preserve"> сельского поселения</w:t>
      </w:r>
    </w:p>
    <w:p w14:paraId="0A000000">
      <w:pPr>
        <w:ind/>
        <w:jc w:val="center"/>
        <w:rPr>
          <w:b w:val="1"/>
        </w:rPr>
      </w:pPr>
    </w:p>
    <w:p w14:paraId="0B000000">
      <w:pPr>
        <w:pStyle w:val="Style_3"/>
        <w:ind/>
        <w:jc w:val="center"/>
        <w:rPr>
          <w:sz w:val="28"/>
        </w:rPr>
      </w:pPr>
      <w:r>
        <w:rPr>
          <w:sz w:val="28"/>
        </w:rPr>
        <w:t>ПОСТАНОВЛЕНИЕ</w:t>
      </w:r>
    </w:p>
    <w:p w14:paraId="0C000000"/>
    <w:p w14:paraId="0D000000">
      <w:pPr>
        <w:rPr>
          <w:sz w:val="28"/>
        </w:rPr>
      </w:pPr>
      <w:r>
        <w:rPr>
          <w:sz w:val="28"/>
        </w:rPr>
        <w:t>16.12.2024г.</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w:t>
      </w:r>
      <w:r>
        <w:rPr>
          <w:sz w:val="28"/>
        </w:rPr>
        <w:t xml:space="preserve"> 134</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п. Новозаря</w:t>
      </w:r>
      <w:r>
        <w:rPr>
          <w:sz w:val="28"/>
        </w:rPr>
        <w:t>н</w:t>
      </w:r>
      <w:r>
        <w:rPr>
          <w:sz w:val="28"/>
        </w:rPr>
        <w:t>ский</w:t>
      </w:r>
    </w:p>
    <w:p w14:paraId="0E000000">
      <w:pPr>
        <w:ind/>
        <w:jc w:val="center"/>
        <w:rPr>
          <w:b w:val="1"/>
          <w:sz w:val="28"/>
        </w:rPr>
      </w:pPr>
    </w:p>
    <w:tbl>
      <w:tblPr>
        <w:tblStyle w:val="Style_4"/>
        <w:tblLayout w:type="fixed"/>
      </w:tblPr>
      <w:tblGrid>
        <w:gridCol w:w="4503"/>
      </w:tblGrid>
      <w:tr>
        <w:tc>
          <w:tcPr>
            <w:tcW w:type="dxa" w:w="4503"/>
          </w:tcPr>
          <w:p w14:paraId="0F000000">
            <w:pPr>
              <w:spacing w:after="0"/>
              <w:ind/>
              <w:rPr>
                <w:sz w:val="28"/>
              </w:rPr>
            </w:pPr>
            <w:r>
              <w:rPr>
                <w:rStyle w:val="Style_5_ch"/>
                <w:sz w:val="28"/>
              </w:rPr>
              <w:t>Об утверждении Положения о порядке</w:t>
            </w:r>
            <w:r>
              <w:rPr>
                <w:rStyle w:val="Style_5_ch"/>
                <w:sz w:val="28"/>
              </w:rPr>
              <w:t xml:space="preserve"> </w:t>
            </w:r>
            <w:r>
              <w:rPr>
                <w:rStyle w:val="Style_5_ch"/>
                <w:sz w:val="28"/>
              </w:rPr>
              <w:t>реализации функций по выявлению,</w:t>
            </w:r>
            <w:r>
              <w:rPr>
                <w:rStyle w:val="Style_5_ch"/>
                <w:sz w:val="28"/>
              </w:rPr>
              <w:t xml:space="preserve"> </w:t>
            </w:r>
            <w:r>
              <w:rPr>
                <w:rStyle w:val="Style_5_ch"/>
                <w:sz w:val="28"/>
              </w:rPr>
              <w:t>оценке объектов накопленного вреда</w:t>
            </w:r>
            <w:r>
              <w:rPr>
                <w:rStyle w:val="Style_5_ch"/>
                <w:sz w:val="28"/>
              </w:rPr>
              <w:t xml:space="preserve"> </w:t>
            </w:r>
            <w:r>
              <w:rPr>
                <w:rStyle w:val="Style_5_ch"/>
                <w:sz w:val="28"/>
              </w:rPr>
              <w:t>окружающей среде, организации работ</w:t>
            </w:r>
            <w:r>
              <w:rPr>
                <w:rStyle w:val="Style_5_ch"/>
                <w:sz w:val="28"/>
              </w:rPr>
              <w:t xml:space="preserve"> </w:t>
            </w:r>
            <w:r>
              <w:rPr>
                <w:rStyle w:val="Style_5_ch"/>
                <w:sz w:val="28"/>
              </w:rPr>
              <w:t>по ликвидации накопленного вреда</w:t>
            </w:r>
          </w:p>
          <w:p w14:paraId="10000000">
            <w:pPr>
              <w:ind/>
              <w:jc w:val="both"/>
              <w:rPr>
                <w:sz w:val="28"/>
              </w:rPr>
            </w:pPr>
            <w:r>
              <w:rPr>
                <w:rStyle w:val="Style_5_ch"/>
                <w:sz w:val="28"/>
              </w:rPr>
              <w:t xml:space="preserve">окружающей среде на </w:t>
            </w:r>
            <w:r>
              <w:rPr>
                <w:rStyle w:val="Style_5_ch"/>
                <w:sz w:val="28"/>
              </w:rPr>
              <w:t>территории</w:t>
            </w:r>
            <w:r>
              <w:rPr>
                <w:rStyle w:val="Style_5_ch"/>
                <w:sz w:val="28"/>
              </w:rPr>
              <w:t xml:space="preserve"> Мокрологского сельского поселения Октябрьского района Ростовской области.</w:t>
            </w:r>
          </w:p>
        </w:tc>
      </w:tr>
    </w:tbl>
    <w:p w14:paraId="11000000">
      <w:pPr>
        <w:spacing w:after="0"/>
        <w:ind w:firstLine="709"/>
        <w:jc w:val="both"/>
        <w:rPr>
          <w:sz w:val="28"/>
        </w:rPr>
      </w:pPr>
      <w:r>
        <w:rPr>
          <w:rStyle w:val="Style_5_ch"/>
          <w:sz w:val="28"/>
        </w:rPr>
        <w:t>В целях реализации функций по выявлению, оценке объектов накопленного вреда окружающей среде, организации работ по ликвидации накопленного вреда</w:t>
      </w:r>
      <w:r>
        <w:rPr>
          <w:rStyle w:val="Style_5_ch"/>
          <w:sz w:val="28"/>
        </w:rPr>
        <w:t xml:space="preserve"> окружающей среде на территории</w:t>
      </w:r>
      <w:r>
        <w:rPr>
          <w:rStyle w:val="Style_5_ch"/>
          <w:sz w:val="28"/>
        </w:rPr>
        <w:t xml:space="preserve"> Мокрологского сельского поселения Октябрьского района Ростовской области</w:t>
      </w:r>
      <w:r>
        <w:rPr>
          <w:rStyle w:val="Style_5_ch"/>
          <w:sz w:val="28"/>
        </w:rPr>
        <w:t>,</w:t>
      </w:r>
      <w:r>
        <w:rPr>
          <w:rStyle w:val="Style_5_ch"/>
          <w:sz w:val="28"/>
        </w:rPr>
        <w:t xml:space="preserve"> руководствуясь статьями 80.1, 80.2 Федерального закона от 10.01.2002 № 7-ФЗ «Об охране окружающей среды»</w:t>
      </w:r>
      <w:r>
        <w:rPr>
          <w:rStyle w:val="Style_5_ch"/>
          <w:sz w:val="28"/>
        </w:rPr>
        <w:t xml:space="preserve"> (в редакции Федерального закона от 04.08.2023 г. № 449-ФЗ)</w:t>
      </w:r>
      <w:r>
        <w:rPr>
          <w:rStyle w:val="Style_5_ch"/>
          <w:sz w:val="28"/>
        </w:rPr>
        <w:t>,</w:t>
      </w:r>
      <w:r>
        <w:rPr>
          <w:rStyle w:val="Style_5_ch"/>
          <w:sz w:val="28"/>
        </w:rPr>
        <w:t xml:space="preserve"> Постановлением Правительства РФ от 27.12.2023 </w:t>
      </w:r>
      <w:r>
        <w:rPr>
          <w:rStyle w:val="Style_5_ch"/>
          <w:sz w:val="28"/>
        </w:rPr>
        <w:t xml:space="preserve">№ 2323 </w:t>
      </w:r>
      <w:r>
        <w:rPr>
          <w:rStyle w:val="Style_5_ch"/>
          <w:sz w:val="28"/>
        </w:rPr>
        <w:t>"Об утверждении Правил организации ликвидации накопленного вреда окружающей среде"</w:t>
      </w:r>
      <w:r>
        <w:rPr>
          <w:rStyle w:val="Style_5_ch"/>
          <w:sz w:val="28"/>
        </w:rPr>
        <w:t xml:space="preserve"> </w:t>
      </w:r>
      <w:r>
        <w:rPr>
          <w:rStyle w:val="Style_5_ch"/>
          <w:sz w:val="28"/>
        </w:rPr>
        <w:t>руководствуясь Уставом</w:t>
      </w:r>
      <w:r>
        <w:rPr>
          <w:sz w:val="28"/>
        </w:rPr>
        <w:t xml:space="preserve"> муниципального образования «Мокрологское сельское поселение», </w:t>
      </w:r>
    </w:p>
    <w:p w14:paraId="12000000">
      <w:pPr>
        <w:spacing w:after="120" w:before="120"/>
        <w:ind w:firstLine="0" w:left="120" w:right="120"/>
        <w:jc w:val="center"/>
      </w:pPr>
      <w:r>
        <w:rPr>
          <w:rStyle w:val="Style_5_ch"/>
          <w:sz w:val="28"/>
        </w:rPr>
        <w:t>ПОСТАНОВЛЯЮ:</w:t>
      </w:r>
    </w:p>
    <w:p w14:paraId="13000000">
      <w:pPr>
        <w:pStyle w:val="Style_5"/>
        <w:spacing w:after="120" w:before="120"/>
        <w:ind w:firstLine="709" w:left="0" w:right="120"/>
        <w:jc w:val="both"/>
        <w:rPr>
          <w:sz w:val="28"/>
        </w:rPr>
      </w:pPr>
      <w:r>
        <w:rPr>
          <w:rStyle w:val="Style_5_ch"/>
          <w:sz w:val="28"/>
        </w:rPr>
        <w:t>1.Утвердить</w:t>
      </w:r>
      <w:r>
        <w:rPr>
          <w:rFonts w:ascii="Times New Roman" w:hAnsi="Times New Roman"/>
          <w:b w:val="0"/>
          <w:sz w:val="28"/>
        </w:rPr>
        <w:t xml:space="preserve"> Положение о порядке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w:t>
      </w:r>
      <w:r>
        <w:rPr>
          <w:rFonts w:ascii="Times New Roman" w:hAnsi="Times New Roman"/>
          <w:b w:val="0"/>
          <w:sz w:val="28"/>
        </w:rPr>
        <w:t>еде на территории</w:t>
      </w:r>
      <w:r>
        <w:rPr>
          <w:rFonts w:ascii="Times New Roman" w:hAnsi="Times New Roman"/>
          <w:b w:val="0"/>
          <w:sz w:val="28"/>
        </w:rPr>
        <w:t xml:space="preserve"> Мокрологского сельского поселения Октябрьского района Ростовской области</w:t>
      </w:r>
      <w:r>
        <w:rPr>
          <w:rFonts w:ascii="Times New Roman" w:hAnsi="Times New Roman"/>
          <w:b w:val="0"/>
          <w:sz w:val="28"/>
        </w:rPr>
        <w:t xml:space="preserve">, </w:t>
      </w:r>
      <w:r>
        <w:rPr>
          <w:rFonts w:ascii="Times New Roman" w:hAnsi="Times New Roman"/>
          <w:b w:val="0"/>
          <w:sz w:val="28"/>
        </w:rPr>
        <w:t>согласно</w:t>
      </w:r>
      <w:r>
        <w:rPr>
          <w:rStyle w:val="Style_5_ch"/>
          <w:sz w:val="28"/>
        </w:rPr>
        <w:t xml:space="preserve"> приложению к настоящему постановлению.</w:t>
      </w:r>
    </w:p>
    <w:p w14:paraId="14000000">
      <w:pPr>
        <w:pStyle w:val="Style_5"/>
        <w:spacing w:after="120" w:before="120"/>
        <w:ind w:firstLine="709" w:left="0" w:right="120"/>
        <w:jc w:val="both"/>
        <w:rPr>
          <w:sz w:val="28"/>
        </w:rPr>
      </w:pPr>
      <w:r>
        <w:rPr>
          <w:rStyle w:val="Style_5_ch"/>
          <w:sz w:val="28"/>
        </w:rPr>
        <w:t xml:space="preserve">2. Постановление вступает в силу со дня его официального опубликования и </w:t>
      </w:r>
      <w:r>
        <w:rPr>
          <w:rStyle w:val="Style_5_ch"/>
          <w:sz w:val="28"/>
        </w:rPr>
        <w:t>подлежит</w:t>
      </w:r>
      <w:r>
        <w:rPr>
          <w:rStyle w:val="Style_5_ch"/>
          <w:sz w:val="28"/>
        </w:rPr>
        <w:t xml:space="preserve"> </w:t>
      </w:r>
      <w:r>
        <w:rPr>
          <w:rStyle w:val="Style_5_ch"/>
          <w:sz w:val="28"/>
        </w:rPr>
        <w:t>размещению</w:t>
      </w:r>
      <w:r>
        <w:rPr>
          <w:rStyle w:val="Style_5_ch"/>
          <w:sz w:val="28"/>
        </w:rPr>
        <w:t xml:space="preserve"> </w:t>
      </w:r>
      <w:r>
        <w:rPr>
          <w:rStyle w:val="Style_5_ch"/>
          <w:sz w:val="28"/>
        </w:rPr>
        <w:t>на</w:t>
      </w:r>
      <w:r>
        <w:rPr>
          <w:rStyle w:val="Style_5_ch"/>
          <w:sz w:val="28"/>
        </w:rPr>
        <w:t xml:space="preserve"> </w:t>
      </w:r>
      <w:r>
        <w:rPr>
          <w:rStyle w:val="Style_5_ch"/>
          <w:sz w:val="28"/>
        </w:rPr>
        <w:t>официальном</w:t>
      </w:r>
      <w:r>
        <w:rPr>
          <w:rStyle w:val="Style_5_ch"/>
          <w:sz w:val="28"/>
        </w:rPr>
        <w:t xml:space="preserve"> </w:t>
      </w:r>
      <w:r>
        <w:rPr>
          <w:rStyle w:val="Style_5_ch"/>
          <w:sz w:val="28"/>
        </w:rPr>
        <w:t>сайте</w:t>
      </w:r>
      <w:r>
        <w:rPr>
          <w:rStyle w:val="Style_5_ch"/>
          <w:sz w:val="28"/>
        </w:rPr>
        <w:t xml:space="preserve"> </w:t>
      </w:r>
      <w:r>
        <w:rPr>
          <w:rStyle w:val="Style_5_ch"/>
          <w:sz w:val="28"/>
        </w:rPr>
        <w:t>Администрации</w:t>
      </w:r>
      <w:r>
        <w:rPr>
          <w:rStyle w:val="Style_5_ch"/>
          <w:sz w:val="28"/>
        </w:rPr>
        <w:t xml:space="preserve"> </w:t>
      </w:r>
      <w:r>
        <w:rPr>
          <w:rStyle w:val="Style_5_ch"/>
          <w:sz w:val="28"/>
        </w:rPr>
        <w:t>Мокрологского сельского поселения.</w:t>
      </w:r>
    </w:p>
    <w:p w14:paraId="15000000">
      <w:pPr>
        <w:pStyle w:val="Style_5"/>
        <w:spacing w:after="120" w:before="120"/>
        <w:ind w:firstLine="709" w:left="0" w:right="120"/>
        <w:jc w:val="both"/>
        <w:rPr>
          <w:sz w:val="28"/>
        </w:rPr>
      </w:pPr>
      <w:r>
        <w:rPr>
          <w:rStyle w:val="Style_5_ch"/>
          <w:sz w:val="28"/>
        </w:rPr>
        <w:t>3.</w:t>
      </w:r>
      <w:r>
        <w:rPr>
          <w:rStyle w:val="Style_5_ch"/>
          <w:sz w:val="28"/>
        </w:rPr>
        <w:t xml:space="preserve"> </w:t>
      </w:r>
      <w:r>
        <w:rPr>
          <w:rStyle w:val="Style_5_ch"/>
          <w:sz w:val="28"/>
        </w:rPr>
        <w:t>Контроль</w:t>
      </w:r>
      <w:r>
        <w:rPr>
          <w:rStyle w:val="Style_5_ch"/>
          <w:sz w:val="28"/>
        </w:rPr>
        <w:t xml:space="preserve"> </w:t>
      </w:r>
      <w:r>
        <w:rPr>
          <w:rStyle w:val="Style_5_ch"/>
          <w:sz w:val="28"/>
        </w:rPr>
        <w:t>за</w:t>
      </w:r>
      <w:r>
        <w:rPr>
          <w:rStyle w:val="Style_5_ch"/>
          <w:sz w:val="28"/>
        </w:rPr>
        <w:t xml:space="preserve"> </w:t>
      </w:r>
      <w:r>
        <w:rPr>
          <w:rStyle w:val="Style_5_ch"/>
          <w:sz w:val="28"/>
        </w:rPr>
        <w:t>исполнением</w:t>
      </w:r>
      <w:r>
        <w:rPr>
          <w:rStyle w:val="Style_5_ch"/>
          <w:sz w:val="28"/>
        </w:rPr>
        <w:t xml:space="preserve"> </w:t>
      </w:r>
      <w:r>
        <w:rPr>
          <w:rStyle w:val="Style_5_ch"/>
          <w:sz w:val="28"/>
        </w:rPr>
        <w:t>данного</w:t>
      </w:r>
      <w:r>
        <w:rPr>
          <w:rStyle w:val="Style_5_ch"/>
          <w:sz w:val="28"/>
        </w:rPr>
        <w:t xml:space="preserve"> </w:t>
      </w:r>
      <w:r>
        <w:rPr>
          <w:rStyle w:val="Style_5_ch"/>
          <w:sz w:val="28"/>
        </w:rPr>
        <w:t>постанов</w:t>
      </w:r>
      <w:r>
        <w:rPr>
          <w:rStyle w:val="Style_5_ch"/>
          <w:sz w:val="28"/>
        </w:rPr>
        <w:t>ления</w:t>
      </w:r>
      <w:r>
        <w:rPr>
          <w:rStyle w:val="Style_5_ch"/>
          <w:sz w:val="28"/>
        </w:rPr>
        <w:t xml:space="preserve"> оставляю за собой.</w:t>
      </w:r>
    </w:p>
    <w:p w14:paraId="16000000">
      <w:pPr>
        <w:spacing w:after="120" w:before="120"/>
        <w:ind w:firstLine="0" w:left="120" w:right="120"/>
      </w:pPr>
    </w:p>
    <w:p w14:paraId="17000000">
      <w:pPr>
        <w:spacing w:after="120" w:before="120"/>
        <w:ind w:firstLine="0" w:left="120" w:right="120"/>
      </w:pPr>
    </w:p>
    <w:p w14:paraId="18000000">
      <w:pPr>
        <w:spacing w:after="120" w:before="120"/>
        <w:ind w:firstLine="0" w:left="120" w:right="120"/>
      </w:pPr>
    </w:p>
    <w:p w14:paraId="19000000">
      <w:pPr>
        <w:ind w:firstLine="709" w:left="0"/>
        <w:jc w:val="both"/>
        <w:rPr>
          <w:sz w:val="28"/>
        </w:rPr>
      </w:pPr>
      <w:r>
        <w:rPr>
          <w:sz w:val="28"/>
        </w:rPr>
        <w:t>Глава Администрации</w:t>
      </w:r>
    </w:p>
    <w:p w14:paraId="1A000000">
      <w:pPr>
        <w:tabs>
          <w:tab w:leader="none" w:pos="7371" w:val="left"/>
        </w:tabs>
        <w:ind/>
        <w:jc w:val="both"/>
        <w:rPr>
          <w:sz w:val="28"/>
        </w:rPr>
      </w:pPr>
      <w:r>
        <w:rPr>
          <w:sz w:val="28"/>
        </w:rPr>
        <w:t>Мокрологского сельского поселения                                          Г.В.Кочин</w:t>
      </w:r>
    </w:p>
    <w:p w14:paraId="1B000000">
      <w:pPr>
        <w:spacing w:after="120" w:before="120"/>
        <w:ind w:firstLine="0" w:left="120" w:right="120"/>
      </w:pPr>
    </w:p>
    <w:p w14:paraId="1C000000">
      <w:pPr>
        <w:spacing w:after="120" w:before="120"/>
        <w:ind w:firstLine="0" w:left="120" w:right="120"/>
      </w:pPr>
    </w:p>
    <w:p w14:paraId="1D000000">
      <w:pPr>
        <w:spacing w:after="120" w:before="120"/>
        <w:ind w:firstLine="0" w:left="-589" w:right="120"/>
        <w:jc w:val="right"/>
        <w:rPr>
          <w:sz w:val="28"/>
        </w:rPr>
      </w:pPr>
    </w:p>
    <w:p w14:paraId="1E000000">
      <w:pPr>
        <w:spacing w:after="120" w:before="120"/>
        <w:ind w:firstLine="0" w:left="-589" w:right="120"/>
        <w:jc w:val="right"/>
        <w:rPr>
          <w:sz w:val="28"/>
        </w:rPr>
      </w:pPr>
    </w:p>
    <w:p w14:paraId="1F000000">
      <w:pPr>
        <w:spacing w:after="120" w:before="120"/>
        <w:ind w:firstLine="0" w:left="-589" w:right="120"/>
        <w:jc w:val="right"/>
        <w:rPr>
          <w:sz w:val="28"/>
        </w:rPr>
      </w:pPr>
    </w:p>
    <w:p w14:paraId="20000000">
      <w:pPr>
        <w:spacing w:after="120" w:before="120"/>
        <w:ind w:firstLine="0" w:left="-589" w:right="120"/>
        <w:jc w:val="right"/>
        <w:rPr>
          <w:sz w:val="28"/>
        </w:rPr>
      </w:pPr>
    </w:p>
    <w:p w14:paraId="21000000">
      <w:pPr>
        <w:spacing w:after="120" w:before="120"/>
        <w:ind w:firstLine="0" w:left="-589" w:right="120"/>
        <w:jc w:val="right"/>
        <w:rPr>
          <w:sz w:val="28"/>
        </w:rPr>
      </w:pPr>
    </w:p>
    <w:p w14:paraId="22000000">
      <w:pPr>
        <w:spacing w:after="120" w:before="120"/>
        <w:ind w:firstLine="0" w:left="-589" w:right="120"/>
        <w:jc w:val="right"/>
        <w:rPr>
          <w:sz w:val="28"/>
        </w:rPr>
      </w:pPr>
    </w:p>
    <w:p w14:paraId="23000000">
      <w:pPr>
        <w:spacing w:after="120" w:before="120"/>
        <w:ind w:firstLine="0" w:left="-589" w:right="120"/>
        <w:jc w:val="right"/>
        <w:rPr>
          <w:sz w:val="28"/>
        </w:rPr>
      </w:pPr>
    </w:p>
    <w:p w14:paraId="24000000">
      <w:pPr>
        <w:spacing w:after="120" w:before="120"/>
        <w:ind w:firstLine="0" w:left="-589" w:right="120"/>
        <w:jc w:val="right"/>
        <w:rPr>
          <w:sz w:val="28"/>
        </w:rPr>
      </w:pPr>
    </w:p>
    <w:p w14:paraId="25000000">
      <w:pPr>
        <w:spacing w:after="120" w:before="120"/>
        <w:ind w:firstLine="0" w:left="-589" w:right="120"/>
        <w:jc w:val="right"/>
        <w:rPr>
          <w:sz w:val="28"/>
        </w:rPr>
      </w:pPr>
    </w:p>
    <w:p w14:paraId="26000000">
      <w:pPr>
        <w:spacing w:after="120" w:before="120"/>
        <w:ind w:firstLine="0" w:left="-589" w:right="120"/>
        <w:jc w:val="right"/>
        <w:rPr>
          <w:sz w:val="28"/>
        </w:rPr>
      </w:pPr>
    </w:p>
    <w:p w14:paraId="27000000">
      <w:pPr>
        <w:spacing w:after="120" w:before="120"/>
        <w:ind w:firstLine="0" w:left="-589" w:right="120"/>
        <w:jc w:val="right"/>
        <w:rPr>
          <w:sz w:val="28"/>
        </w:rPr>
      </w:pPr>
    </w:p>
    <w:p w14:paraId="28000000">
      <w:pPr>
        <w:spacing w:after="120" w:before="120"/>
        <w:ind w:firstLine="0" w:left="-589" w:right="120"/>
        <w:jc w:val="right"/>
        <w:rPr>
          <w:sz w:val="28"/>
        </w:rPr>
      </w:pPr>
    </w:p>
    <w:p w14:paraId="29000000">
      <w:pPr>
        <w:spacing w:after="120" w:before="120"/>
        <w:ind w:firstLine="0" w:left="-589" w:right="120"/>
        <w:jc w:val="right"/>
        <w:rPr>
          <w:sz w:val="28"/>
        </w:rPr>
      </w:pPr>
    </w:p>
    <w:p w14:paraId="2A000000">
      <w:pPr>
        <w:spacing w:after="120" w:before="120"/>
        <w:ind w:firstLine="0" w:left="-589" w:right="120"/>
        <w:jc w:val="right"/>
        <w:rPr>
          <w:sz w:val="28"/>
        </w:rPr>
      </w:pPr>
    </w:p>
    <w:p w14:paraId="2B000000">
      <w:pPr>
        <w:spacing w:after="120" w:before="120"/>
        <w:ind w:firstLine="0" w:left="-589" w:right="120"/>
        <w:jc w:val="right"/>
        <w:rPr>
          <w:sz w:val="28"/>
        </w:rPr>
      </w:pPr>
    </w:p>
    <w:p w14:paraId="2C000000">
      <w:pPr>
        <w:spacing w:after="120" w:before="120"/>
        <w:ind w:firstLine="0" w:left="-589" w:right="120"/>
        <w:jc w:val="right"/>
        <w:rPr>
          <w:sz w:val="28"/>
        </w:rPr>
      </w:pPr>
    </w:p>
    <w:p w14:paraId="2D000000">
      <w:pPr>
        <w:spacing w:after="120" w:before="120"/>
        <w:ind w:firstLine="0" w:left="-589" w:right="120"/>
        <w:jc w:val="right"/>
        <w:rPr>
          <w:sz w:val="28"/>
        </w:rPr>
      </w:pPr>
    </w:p>
    <w:p w14:paraId="2E000000">
      <w:pPr>
        <w:spacing w:after="120" w:before="120"/>
        <w:ind w:firstLine="0" w:left="-589" w:right="120"/>
        <w:jc w:val="right"/>
        <w:rPr>
          <w:sz w:val="28"/>
        </w:rPr>
      </w:pPr>
    </w:p>
    <w:p w14:paraId="2F000000">
      <w:pPr>
        <w:spacing w:after="120" w:before="120"/>
        <w:ind w:firstLine="0" w:left="-589" w:right="120"/>
        <w:jc w:val="right"/>
        <w:rPr>
          <w:sz w:val="28"/>
        </w:rPr>
      </w:pPr>
    </w:p>
    <w:p w14:paraId="30000000">
      <w:pPr>
        <w:spacing w:after="120" w:before="120"/>
        <w:ind w:firstLine="0" w:left="-589" w:right="120"/>
        <w:jc w:val="right"/>
        <w:rPr>
          <w:sz w:val="28"/>
        </w:rPr>
      </w:pPr>
    </w:p>
    <w:p w14:paraId="31000000">
      <w:pPr>
        <w:spacing w:after="120" w:before="120"/>
        <w:ind w:firstLine="0" w:left="-589" w:right="120"/>
        <w:jc w:val="right"/>
        <w:rPr>
          <w:sz w:val="28"/>
        </w:rPr>
      </w:pPr>
    </w:p>
    <w:p w14:paraId="32000000">
      <w:pPr>
        <w:spacing w:after="120" w:before="120"/>
        <w:ind w:firstLine="0" w:left="-589" w:right="120"/>
        <w:jc w:val="right"/>
        <w:rPr>
          <w:sz w:val="28"/>
        </w:rPr>
      </w:pPr>
    </w:p>
    <w:p w14:paraId="33000000">
      <w:pPr>
        <w:spacing w:after="120" w:before="120"/>
        <w:ind w:firstLine="0" w:left="-589" w:right="120"/>
        <w:jc w:val="right"/>
        <w:rPr>
          <w:sz w:val="28"/>
        </w:rPr>
      </w:pPr>
    </w:p>
    <w:p w14:paraId="34000000">
      <w:pPr>
        <w:spacing w:after="120" w:before="120"/>
        <w:ind w:firstLine="0" w:left="-589" w:right="120"/>
        <w:jc w:val="right"/>
        <w:rPr>
          <w:sz w:val="28"/>
        </w:rPr>
      </w:pPr>
    </w:p>
    <w:p w14:paraId="35000000">
      <w:pPr>
        <w:spacing w:after="120" w:before="120"/>
        <w:ind w:firstLine="0" w:left="-589" w:right="120"/>
        <w:jc w:val="right"/>
        <w:rPr>
          <w:sz w:val="28"/>
        </w:rPr>
      </w:pPr>
    </w:p>
    <w:p w14:paraId="36000000">
      <w:pPr>
        <w:spacing w:after="120" w:before="120"/>
        <w:ind w:firstLine="0" w:left="-589" w:right="120"/>
        <w:jc w:val="right"/>
        <w:rPr>
          <w:sz w:val="28"/>
        </w:rPr>
      </w:pPr>
    </w:p>
    <w:p w14:paraId="37000000">
      <w:pPr>
        <w:spacing w:after="120" w:before="120"/>
        <w:ind w:firstLine="0" w:left="-589" w:right="120"/>
        <w:jc w:val="right"/>
        <w:rPr>
          <w:sz w:val="28"/>
        </w:rPr>
      </w:pPr>
      <w:r>
        <w:rPr>
          <w:rStyle w:val="Style_5_ch"/>
          <w:sz w:val="28"/>
        </w:rPr>
        <w:t>Приложение No 1</w:t>
      </w:r>
      <w:r>
        <w:rPr>
          <w:rStyle w:val="Style_5_ch"/>
          <w:sz w:val="28"/>
        </w:rPr>
        <w:t>к постановлению</w:t>
      </w:r>
    </w:p>
    <w:p w14:paraId="38000000">
      <w:pPr>
        <w:spacing w:after="120" w:before="120"/>
        <w:ind w:firstLine="0" w:left="-589" w:right="120"/>
        <w:jc w:val="right"/>
        <w:rPr>
          <w:sz w:val="28"/>
        </w:rPr>
      </w:pPr>
      <w:r>
        <w:rPr>
          <w:rStyle w:val="Style_5_ch"/>
          <w:sz w:val="28"/>
        </w:rPr>
        <w:t>Мокрологского сельского поселения</w:t>
      </w:r>
      <w:r>
        <w:rPr>
          <w:rStyle w:val="Style_5_ch"/>
          <w:sz w:val="28"/>
        </w:rPr>
        <w:t xml:space="preserve"> </w:t>
      </w:r>
    </w:p>
    <w:p w14:paraId="39000000">
      <w:pPr>
        <w:spacing w:after="120" w:before="120"/>
        <w:ind w:firstLine="0" w:left="-589" w:right="120"/>
        <w:jc w:val="right"/>
        <w:rPr>
          <w:sz w:val="28"/>
        </w:rPr>
      </w:pPr>
      <w:r>
        <w:rPr>
          <w:rStyle w:val="Style_5_ch"/>
          <w:sz w:val="28"/>
        </w:rPr>
        <w:t xml:space="preserve">от 16.12.2024 No 134 </w:t>
      </w:r>
    </w:p>
    <w:p w14:paraId="3A000000">
      <w:pPr>
        <w:ind/>
        <w:jc w:val="center"/>
        <w:rPr>
          <w:b w:val="0"/>
          <w:sz w:val="28"/>
        </w:rPr>
      </w:pPr>
      <w:r>
        <w:rPr>
          <w:b w:val="0"/>
          <w:sz w:val="28"/>
        </w:rPr>
        <w:t>Положение о порядке</w:t>
      </w:r>
    </w:p>
    <w:p w14:paraId="3B000000">
      <w:pPr>
        <w:ind/>
        <w:jc w:val="center"/>
        <w:rPr>
          <w:b w:val="0"/>
          <w:sz w:val="28"/>
        </w:rPr>
      </w:pPr>
      <w:r>
        <w:rPr>
          <w:b w:val="0"/>
          <w:sz w:val="28"/>
        </w:rPr>
        <w:t>реализации функций по выявлению, оценке объектов</w:t>
      </w:r>
    </w:p>
    <w:p w14:paraId="3C000000">
      <w:pPr>
        <w:ind/>
        <w:jc w:val="center"/>
        <w:rPr>
          <w:b w:val="0"/>
          <w:sz w:val="28"/>
        </w:rPr>
      </w:pPr>
      <w:r>
        <w:rPr>
          <w:b w:val="0"/>
          <w:sz w:val="28"/>
        </w:rPr>
        <w:t>накопленного вреда окружающей среде, организации работ</w:t>
      </w:r>
    </w:p>
    <w:p w14:paraId="3D000000">
      <w:pPr>
        <w:ind/>
        <w:jc w:val="center"/>
        <w:rPr>
          <w:b w:val="0"/>
          <w:sz w:val="28"/>
        </w:rPr>
      </w:pPr>
      <w:r>
        <w:rPr>
          <w:b w:val="0"/>
          <w:sz w:val="28"/>
        </w:rPr>
        <w:t>по ликвидации накопленного вреда окружающей среде</w:t>
      </w:r>
    </w:p>
    <w:p w14:paraId="3E000000">
      <w:pPr>
        <w:ind/>
        <w:jc w:val="center"/>
        <w:rPr>
          <w:b w:val="0"/>
          <w:sz w:val="28"/>
        </w:rPr>
      </w:pPr>
      <w:r>
        <w:rPr>
          <w:b w:val="0"/>
          <w:sz w:val="28"/>
        </w:rPr>
        <w:t>на территории</w:t>
      </w:r>
      <w:r>
        <w:rPr>
          <w:b w:val="0"/>
          <w:sz w:val="28"/>
        </w:rPr>
        <w:t xml:space="preserve"> Мокрологского сельского поселения Октябрьского района Ростовской области</w:t>
      </w:r>
    </w:p>
    <w:p w14:paraId="3F000000">
      <w:pPr>
        <w:ind/>
        <w:jc w:val="center"/>
        <w:rPr>
          <w:b w:val="0"/>
          <w:sz w:val="28"/>
        </w:rPr>
      </w:pPr>
    </w:p>
    <w:p w14:paraId="40000000">
      <w:pPr>
        <w:spacing w:after="0"/>
        <w:ind w:firstLine="709"/>
        <w:jc w:val="both"/>
        <w:rPr>
          <w:rFonts w:ascii="Times New Roman" w:hAnsi="Times New Roman"/>
          <w:sz w:val="28"/>
        </w:rPr>
      </w:pPr>
      <w:r>
        <w:rPr>
          <w:rFonts w:ascii="Times New Roman" w:hAnsi="Times New Roman"/>
          <w:sz w:val="28"/>
        </w:rPr>
        <w:t>1. </w:t>
      </w:r>
      <w:r>
        <w:rPr>
          <w:rFonts w:ascii="Times New Roman" w:hAnsi="Times New Roman"/>
          <w:sz w:val="28"/>
        </w:rPr>
        <w:t xml:space="preserve">Настоящие Правила устанавливают порядок организации ликвидации накопленного вреда окружающей среде </w:t>
      </w:r>
      <w:r>
        <w:rPr>
          <w:rFonts w:ascii="Times New Roman" w:hAnsi="Times New Roman"/>
          <w:sz w:val="28"/>
        </w:rPr>
        <w:t xml:space="preserve">на территории </w:t>
      </w:r>
      <w:r>
        <w:rPr>
          <w:b w:val="0"/>
          <w:sz w:val="28"/>
        </w:rPr>
        <w:t>Мокрологского сельского поселения Октябрьского района Ростовской области</w:t>
      </w:r>
      <w:r>
        <w:rPr>
          <w:rFonts w:ascii="Times New Roman" w:hAnsi="Times New Roman"/>
          <w:sz w:val="28"/>
        </w:rPr>
        <w:t xml:space="preserve"> </w:t>
      </w:r>
      <w:r>
        <w:rPr>
          <w:rFonts w:ascii="Times New Roman" w:hAnsi="Times New Roman"/>
          <w:sz w:val="28"/>
        </w:rPr>
        <w:t>(далее - накопленный вред), в том числе осуществления необходимых обследований, разработки и утверждения проекта ликвидации накопленного вреда (далее - проект ликвидации), состав проекта ликвидации, порядок осуществления наблюдения за ходом ликвидации накопленного вреда и выдачи заключения, указанного в пункте 7 статьи 80</w:t>
      </w:r>
      <w:r>
        <w:rPr>
          <w:rFonts w:ascii="Times New Roman" w:hAnsi="Times New Roman"/>
          <w:sz w:val="28"/>
          <w:vertAlign w:val="superscript"/>
        </w:rPr>
        <w:t>3</w:t>
      </w:r>
      <w:r>
        <w:rPr>
          <w:rFonts w:ascii="Times New Roman" w:hAnsi="Times New Roman"/>
          <w:sz w:val="28"/>
        </w:rPr>
        <w:t> Федерального</w:t>
      </w:r>
      <w:r>
        <w:rPr>
          <w:rFonts w:ascii="Times New Roman" w:hAnsi="Times New Roman"/>
          <w:sz w:val="28"/>
        </w:rPr>
        <w:t xml:space="preserve"> закона "Об охране окружающей среды" (далее - заключение).</w:t>
      </w:r>
    </w:p>
    <w:p w14:paraId="41000000">
      <w:pPr>
        <w:spacing w:after="0"/>
        <w:ind w:firstLine="709"/>
        <w:jc w:val="both"/>
        <w:rPr>
          <w:rFonts w:ascii="Times New Roman" w:hAnsi="Times New Roman"/>
          <w:sz w:val="28"/>
        </w:rPr>
      </w:pPr>
    </w:p>
    <w:p w14:paraId="42000000">
      <w:pPr>
        <w:spacing w:after="0"/>
        <w:ind w:firstLine="709"/>
        <w:jc w:val="both"/>
        <w:rPr>
          <w:rFonts w:ascii="Times New Roman" w:hAnsi="Times New Roman"/>
          <w:sz w:val="28"/>
        </w:rPr>
      </w:pPr>
      <w:r>
        <w:rPr>
          <w:rFonts w:ascii="Times New Roman" w:hAnsi="Times New Roman"/>
          <w:sz w:val="28"/>
        </w:rPr>
        <w:t>2. Ликвидация накопленного вреда осуществляется в отношении объектов накопленного вреда (далее - объек</w:t>
      </w:r>
      <w:r>
        <w:rPr>
          <w:rFonts w:ascii="Times New Roman" w:hAnsi="Times New Roman"/>
          <w:sz w:val="28"/>
        </w:rPr>
        <w:t>т), включенных в</w:t>
      </w:r>
      <w:r>
        <w:rPr>
          <w:rFonts w:ascii="Times New Roman" w:hAnsi="Times New Roman"/>
          <w:sz w:val="28"/>
        </w:rPr>
        <w:t xml:space="preserve"> </w:t>
      </w:r>
      <w:r>
        <w:rPr>
          <w:rFonts w:ascii="Times New Roman" w:hAnsi="Times New Roman"/>
          <w:sz w:val="28"/>
        </w:rPr>
        <w:t xml:space="preserve">государственный </w:t>
      </w:r>
      <w:r>
        <w:rPr>
          <w:rFonts w:ascii="Times New Roman" w:hAnsi="Times New Roman"/>
          <w:sz w:val="28"/>
        </w:rPr>
        <w:t>реестр объектов накопленного вреда окружающей среде.</w:t>
      </w:r>
    </w:p>
    <w:p w14:paraId="43000000">
      <w:pPr>
        <w:spacing w:after="0"/>
        <w:ind w:firstLine="709"/>
        <w:jc w:val="both"/>
        <w:rPr>
          <w:rFonts w:ascii="Times New Roman" w:hAnsi="Times New Roman"/>
          <w:sz w:val="28"/>
        </w:rPr>
      </w:pPr>
    </w:p>
    <w:p w14:paraId="44000000">
      <w:pPr>
        <w:spacing w:after="0"/>
        <w:ind w:firstLine="709"/>
        <w:jc w:val="both"/>
        <w:rPr>
          <w:rFonts w:ascii="Times New Roman" w:hAnsi="Times New Roman"/>
          <w:sz w:val="28"/>
        </w:rPr>
      </w:pPr>
      <w:r>
        <w:rPr>
          <w:rFonts w:ascii="Times New Roman" w:hAnsi="Times New Roman"/>
          <w:sz w:val="28"/>
        </w:rPr>
        <w:t>3. Организация ликвидации накопленного вреда применительно к территории, расположенной в границах земельных участков, находящихся в собствен</w:t>
      </w:r>
      <w:r>
        <w:rPr>
          <w:rFonts w:ascii="Times New Roman" w:hAnsi="Times New Roman"/>
          <w:sz w:val="28"/>
        </w:rPr>
        <w:t>ности сельского поселения и осуществляется администрацией сельского поселения.</w:t>
      </w:r>
    </w:p>
    <w:p w14:paraId="45000000">
      <w:pPr>
        <w:spacing w:after="0"/>
        <w:ind w:firstLine="709"/>
        <w:jc w:val="both"/>
        <w:rPr>
          <w:rFonts w:ascii="Times New Roman" w:hAnsi="Times New Roman"/>
          <w:sz w:val="28"/>
        </w:rPr>
      </w:pPr>
    </w:p>
    <w:p w14:paraId="46000000">
      <w:pPr>
        <w:spacing w:after="0"/>
        <w:ind w:firstLine="709"/>
        <w:jc w:val="both"/>
        <w:rPr>
          <w:rFonts w:ascii="Times New Roman" w:hAnsi="Times New Roman"/>
          <w:sz w:val="28"/>
        </w:rPr>
      </w:pPr>
      <w:r>
        <w:rPr>
          <w:rFonts w:ascii="Times New Roman" w:hAnsi="Times New Roman"/>
          <w:sz w:val="28"/>
        </w:rPr>
        <w:t>4. Организация ликвидации накопленного вреда включает в себя:</w:t>
      </w:r>
    </w:p>
    <w:p w14:paraId="47000000">
      <w:pPr>
        <w:spacing w:after="0"/>
        <w:ind w:firstLine="709"/>
        <w:jc w:val="both"/>
        <w:rPr>
          <w:rFonts w:ascii="Times New Roman" w:hAnsi="Times New Roman"/>
          <w:sz w:val="28"/>
        </w:rPr>
      </w:pPr>
      <w:r>
        <w:rPr>
          <w:rFonts w:ascii="Times New Roman" w:hAnsi="Times New Roman"/>
          <w:sz w:val="28"/>
        </w:rPr>
        <w:t>а) проведение необходимых обследований объекта;</w:t>
      </w:r>
    </w:p>
    <w:p w14:paraId="48000000">
      <w:pPr>
        <w:spacing w:after="0"/>
        <w:ind w:firstLine="709"/>
        <w:jc w:val="both"/>
        <w:rPr>
          <w:rFonts w:ascii="Times New Roman" w:hAnsi="Times New Roman"/>
          <w:sz w:val="28"/>
        </w:rPr>
      </w:pPr>
      <w:r>
        <w:rPr>
          <w:rFonts w:ascii="Times New Roman" w:hAnsi="Times New Roman"/>
          <w:sz w:val="28"/>
        </w:rPr>
        <w:t>б) разработку проекта ликвидации;</w:t>
      </w:r>
    </w:p>
    <w:p w14:paraId="49000000">
      <w:pPr>
        <w:spacing w:after="0"/>
        <w:ind w:firstLine="709"/>
        <w:jc w:val="both"/>
        <w:rPr>
          <w:rFonts w:ascii="Times New Roman" w:hAnsi="Times New Roman"/>
          <w:sz w:val="28"/>
        </w:rPr>
      </w:pPr>
      <w:r>
        <w:rPr>
          <w:rFonts w:ascii="Times New Roman" w:hAnsi="Times New Roman"/>
          <w:sz w:val="28"/>
        </w:rPr>
        <w:t>в) утверждение проекта ликвидации;</w:t>
      </w:r>
    </w:p>
    <w:p w14:paraId="4A000000">
      <w:pPr>
        <w:spacing w:after="0"/>
        <w:ind w:firstLine="709"/>
        <w:jc w:val="both"/>
        <w:rPr>
          <w:rFonts w:ascii="Times New Roman" w:hAnsi="Times New Roman"/>
          <w:sz w:val="28"/>
        </w:rPr>
      </w:pPr>
      <w:r>
        <w:rPr>
          <w:rFonts w:ascii="Times New Roman" w:hAnsi="Times New Roman"/>
          <w:sz w:val="28"/>
        </w:rPr>
        <w:t>г) проведение ликвидации накопленного вреда.</w:t>
      </w:r>
    </w:p>
    <w:p w14:paraId="4B000000">
      <w:pPr>
        <w:spacing w:after="0"/>
        <w:ind w:firstLine="709"/>
        <w:jc w:val="both"/>
        <w:rPr>
          <w:rFonts w:ascii="Times New Roman" w:hAnsi="Times New Roman"/>
          <w:sz w:val="28"/>
        </w:rPr>
      </w:pPr>
    </w:p>
    <w:p w14:paraId="4C000000">
      <w:pPr>
        <w:spacing w:after="0"/>
        <w:ind w:firstLine="709"/>
        <w:jc w:val="both"/>
        <w:rPr>
          <w:rFonts w:ascii="Times New Roman" w:hAnsi="Times New Roman"/>
          <w:sz w:val="28"/>
        </w:rPr>
      </w:pPr>
      <w:r>
        <w:rPr>
          <w:rFonts w:ascii="Times New Roman" w:hAnsi="Times New Roman"/>
          <w:sz w:val="28"/>
        </w:rPr>
        <w:t xml:space="preserve">5. </w:t>
      </w:r>
      <w:r>
        <w:rPr>
          <w:rFonts w:ascii="Times New Roman" w:hAnsi="Times New Roman"/>
          <w:sz w:val="28"/>
        </w:rPr>
        <w:t>Проведение работ, указанных в </w:t>
      </w:r>
      <w:r>
        <w:rPr>
          <w:rStyle w:val="Style_6_ch"/>
          <w:rFonts w:ascii="Times New Roman" w:hAnsi="Times New Roman"/>
          <w:color w:val="808080"/>
          <w:sz w:val="28"/>
        </w:rPr>
        <w:fldChar w:fldCharType="begin"/>
      </w:r>
      <w:r>
        <w:rPr>
          <w:rStyle w:val="Style_6_ch"/>
          <w:rFonts w:ascii="Times New Roman" w:hAnsi="Times New Roman"/>
          <w:color w:val="808080"/>
          <w:sz w:val="28"/>
        </w:rPr>
        <w:instrText>HYPERLINK "https://www.garant.ru/products/ipo/prime/doc/408214267/#1041"</w:instrText>
      </w:r>
      <w:r>
        <w:rPr>
          <w:rStyle w:val="Style_6_ch"/>
          <w:rFonts w:ascii="Times New Roman" w:hAnsi="Times New Roman"/>
          <w:color w:val="808080"/>
          <w:sz w:val="28"/>
        </w:rPr>
        <w:fldChar w:fldCharType="separate"/>
      </w:r>
      <w:r>
        <w:rPr>
          <w:rStyle w:val="Style_6_ch"/>
          <w:rFonts w:ascii="Times New Roman" w:hAnsi="Times New Roman"/>
          <w:color w:val="808080"/>
          <w:sz w:val="28"/>
        </w:rPr>
        <w:t>подпунктах "а"</w:t>
      </w:r>
      <w:r>
        <w:rPr>
          <w:rStyle w:val="Style_6_ch"/>
          <w:rFonts w:ascii="Times New Roman" w:hAnsi="Times New Roman"/>
          <w:color w:val="808080"/>
          <w:sz w:val="28"/>
        </w:rPr>
        <w:fldChar w:fldCharType="end"/>
      </w:r>
      <w:r>
        <w:rPr>
          <w:rFonts w:ascii="Times New Roman" w:hAnsi="Times New Roman"/>
          <w:sz w:val="28"/>
        </w:rPr>
        <w:t>, </w:t>
      </w:r>
      <w:r>
        <w:rPr>
          <w:rStyle w:val="Style_6_ch"/>
          <w:rFonts w:ascii="Times New Roman" w:hAnsi="Times New Roman"/>
          <w:color w:val="808080"/>
          <w:sz w:val="28"/>
        </w:rPr>
        <w:fldChar w:fldCharType="begin"/>
      </w:r>
      <w:r>
        <w:rPr>
          <w:rStyle w:val="Style_6_ch"/>
          <w:rFonts w:ascii="Times New Roman" w:hAnsi="Times New Roman"/>
          <w:color w:val="808080"/>
          <w:sz w:val="28"/>
        </w:rPr>
        <w:instrText>HYPERLINK "https://www.garant.ru/products/ipo/prime/doc/408214267/#1042"</w:instrText>
      </w:r>
      <w:r>
        <w:rPr>
          <w:rStyle w:val="Style_6_ch"/>
          <w:rFonts w:ascii="Times New Roman" w:hAnsi="Times New Roman"/>
          <w:color w:val="808080"/>
          <w:sz w:val="28"/>
        </w:rPr>
        <w:fldChar w:fldCharType="separate"/>
      </w:r>
      <w:r>
        <w:rPr>
          <w:rStyle w:val="Style_6_ch"/>
          <w:rFonts w:ascii="Times New Roman" w:hAnsi="Times New Roman"/>
          <w:color w:val="808080"/>
          <w:sz w:val="28"/>
        </w:rPr>
        <w:t>"б"</w:t>
      </w:r>
      <w:r>
        <w:rPr>
          <w:rStyle w:val="Style_6_ch"/>
          <w:rFonts w:ascii="Times New Roman" w:hAnsi="Times New Roman"/>
          <w:color w:val="808080"/>
          <w:sz w:val="28"/>
        </w:rPr>
        <w:fldChar w:fldCharType="end"/>
      </w:r>
      <w:r>
        <w:rPr>
          <w:rFonts w:ascii="Times New Roman" w:hAnsi="Times New Roman"/>
          <w:sz w:val="28"/>
        </w:rPr>
        <w:t> и </w:t>
      </w:r>
      <w:r>
        <w:rPr>
          <w:rStyle w:val="Style_6_ch"/>
          <w:rFonts w:ascii="Times New Roman" w:hAnsi="Times New Roman"/>
          <w:color w:val="808080"/>
          <w:sz w:val="28"/>
        </w:rPr>
        <w:fldChar w:fldCharType="begin"/>
      </w:r>
      <w:r>
        <w:rPr>
          <w:rStyle w:val="Style_6_ch"/>
          <w:rFonts w:ascii="Times New Roman" w:hAnsi="Times New Roman"/>
          <w:color w:val="808080"/>
          <w:sz w:val="28"/>
        </w:rPr>
        <w:instrText>HYPERLINK "https://www.garant.ru/products/ipo/prime/doc/408214267/#1044"</w:instrText>
      </w:r>
      <w:r>
        <w:rPr>
          <w:rStyle w:val="Style_6_ch"/>
          <w:rFonts w:ascii="Times New Roman" w:hAnsi="Times New Roman"/>
          <w:color w:val="808080"/>
          <w:sz w:val="28"/>
        </w:rPr>
        <w:fldChar w:fldCharType="separate"/>
      </w:r>
      <w:r>
        <w:rPr>
          <w:rStyle w:val="Style_6_ch"/>
          <w:rFonts w:ascii="Times New Roman" w:hAnsi="Times New Roman"/>
          <w:color w:val="808080"/>
          <w:sz w:val="28"/>
        </w:rPr>
        <w:t>"г" пункта 4</w:t>
      </w:r>
      <w:r>
        <w:rPr>
          <w:rStyle w:val="Style_6_ch"/>
          <w:rFonts w:ascii="Times New Roman" w:hAnsi="Times New Roman"/>
          <w:color w:val="808080"/>
          <w:sz w:val="28"/>
        </w:rPr>
        <w:fldChar w:fldCharType="end"/>
      </w:r>
      <w:r>
        <w:rPr>
          <w:rFonts w:ascii="Times New Roman" w:hAnsi="Times New Roman"/>
          <w:sz w:val="28"/>
        </w:rPr>
        <w:t> настоящих Правил, осуществляется лицами, определяемыми органами местного самоуправления согласно полномочиям, указанным в </w:t>
      </w:r>
      <w:r>
        <w:rPr>
          <w:rStyle w:val="Style_6_ch"/>
          <w:rFonts w:ascii="Times New Roman" w:hAnsi="Times New Roman"/>
          <w:color w:val="808080"/>
          <w:sz w:val="28"/>
        </w:rPr>
        <w:fldChar w:fldCharType="begin"/>
      </w:r>
      <w:r>
        <w:rPr>
          <w:rStyle w:val="Style_6_ch"/>
          <w:rFonts w:ascii="Times New Roman" w:hAnsi="Times New Roman"/>
          <w:color w:val="808080"/>
          <w:sz w:val="28"/>
        </w:rPr>
        <w:instrText>HYPERLINK "https://www.garant.ru/products/ipo/prime/doc/408214267/#1003"</w:instrText>
      </w:r>
      <w:r>
        <w:rPr>
          <w:rStyle w:val="Style_6_ch"/>
          <w:rFonts w:ascii="Times New Roman" w:hAnsi="Times New Roman"/>
          <w:color w:val="808080"/>
          <w:sz w:val="28"/>
        </w:rPr>
        <w:fldChar w:fldCharType="separate"/>
      </w:r>
      <w:r>
        <w:rPr>
          <w:rStyle w:val="Style_6_ch"/>
          <w:rFonts w:ascii="Times New Roman" w:hAnsi="Times New Roman"/>
          <w:color w:val="808080"/>
          <w:sz w:val="28"/>
        </w:rPr>
        <w:t>пункте 3</w:t>
      </w:r>
      <w:r>
        <w:rPr>
          <w:rStyle w:val="Style_6_ch"/>
          <w:rFonts w:ascii="Times New Roman" w:hAnsi="Times New Roman"/>
          <w:color w:val="808080"/>
          <w:sz w:val="28"/>
        </w:rPr>
        <w:fldChar w:fldCharType="end"/>
      </w:r>
      <w:r>
        <w:rPr>
          <w:rFonts w:ascii="Times New Roman" w:hAnsi="Times New Roman"/>
          <w:sz w:val="28"/>
        </w:rPr>
        <w:t> настоящих Правил,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соответственно - исполнитель, заказчик).</w:t>
      </w:r>
    </w:p>
    <w:p w14:paraId="4D000000">
      <w:pPr>
        <w:spacing w:after="0"/>
        <w:ind w:firstLine="709"/>
        <w:jc w:val="both"/>
        <w:rPr>
          <w:rFonts w:ascii="Times New Roman" w:hAnsi="Times New Roman"/>
          <w:sz w:val="28"/>
        </w:rPr>
      </w:pPr>
      <w:r>
        <w:rPr>
          <w:rFonts w:ascii="Times New Roman" w:hAnsi="Times New Roman"/>
          <w:sz w:val="28"/>
        </w:rPr>
        <w:t>6. Исполнитель проводит необходимые обследования объекта при разработке проекта ликвидации.</w:t>
      </w:r>
    </w:p>
    <w:p w14:paraId="4E000000">
      <w:pPr>
        <w:spacing w:after="0"/>
        <w:ind w:firstLine="709"/>
        <w:jc w:val="both"/>
        <w:rPr>
          <w:rFonts w:ascii="Times New Roman" w:hAnsi="Times New Roman"/>
          <w:sz w:val="28"/>
        </w:rPr>
      </w:pPr>
      <w:r>
        <w:rPr>
          <w:rFonts w:ascii="Times New Roman" w:hAnsi="Times New Roman"/>
          <w:sz w:val="28"/>
        </w:rPr>
        <w:t>7. Пр</w:t>
      </w:r>
      <w:r>
        <w:rPr>
          <w:rFonts w:ascii="Times New Roman" w:hAnsi="Times New Roman"/>
          <w:sz w:val="28"/>
        </w:rPr>
        <w:t>оект ликвидации содержит</w:t>
      </w:r>
      <w:r>
        <w:rPr>
          <w:rFonts w:ascii="Times New Roman" w:hAnsi="Times New Roman"/>
          <w:sz w:val="28"/>
        </w:rPr>
        <w:t xml:space="preserve"> следующие разделы:</w:t>
      </w:r>
    </w:p>
    <w:p w14:paraId="4F000000">
      <w:pPr>
        <w:spacing w:after="0"/>
        <w:ind w:firstLine="709"/>
        <w:jc w:val="both"/>
        <w:rPr>
          <w:rFonts w:ascii="Times New Roman" w:hAnsi="Times New Roman"/>
          <w:sz w:val="28"/>
        </w:rPr>
      </w:pPr>
      <w:r>
        <w:rPr>
          <w:rFonts w:ascii="Times New Roman" w:hAnsi="Times New Roman"/>
          <w:sz w:val="28"/>
        </w:rPr>
        <w:t>а) раздел "Пояснительная записка и эколого-экономическое обоснование ликвидации накопленного вреда", включающий:</w:t>
      </w:r>
    </w:p>
    <w:p w14:paraId="50000000">
      <w:pPr>
        <w:spacing w:after="0"/>
        <w:ind w:firstLine="709"/>
        <w:jc w:val="both"/>
        <w:rPr>
          <w:rFonts w:ascii="Times New Roman" w:hAnsi="Times New Roman"/>
          <w:sz w:val="28"/>
        </w:rPr>
      </w:pPr>
      <w:r>
        <w:rPr>
          <w:rFonts w:ascii="Times New Roman" w:hAnsi="Times New Roman"/>
          <w:sz w:val="28"/>
        </w:rPr>
        <w:t>описание объекта, его площадь, месторасположение, сведения о границах объекта в виде схематического изображения на кадастровом плане территории (на выписке из Единого государственного реестра недвижимости об основных характеристиках и зарегистрированных правах на объект недвижимости) или выписку из Единого государственного реестра недвижимости об основных характеристиках и зарегистрированных правах на объект недвижимости в случае, если границы объекта совпадают с границами земельного участка, а</w:t>
      </w:r>
      <w:r>
        <w:rPr>
          <w:rFonts w:ascii="Times New Roman" w:hAnsi="Times New Roman"/>
          <w:sz w:val="28"/>
        </w:rPr>
        <w:t xml:space="preserve"> также информацию о правообладателях объекта (земельного участка, объекта капитального строительства, водного объекта);</w:t>
      </w:r>
    </w:p>
    <w:p w14:paraId="51000000">
      <w:pPr>
        <w:spacing w:after="0"/>
        <w:ind w:firstLine="709"/>
        <w:jc w:val="both"/>
        <w:rPr>
          <w:rFonts w:ascii="Times New Roman" w:hAnsi="Times New Roman"/>
          <w:sz w:val="28"/>
        </w:rPr>
      </w:pPr>
      <w:r>
        <w:rPr>
          <w:rFonts w:ascii="Times New Roman" w:hAnsi="Times New Roman"/>
          <w:sz w:val="28"/>
        </w:rPr>
        <w:t>информацию о компонентах природной среды, на которые оказывает негативное воздействие объект, степень такого воздействия (наличие на территориях, на объектах капитального строительства загрязняющих веществ, в том числе радиоактивных веществ, высокотоксичных веществ, веществ, обладающих канцерогенными, мутагенными свойствами (веществ I, II классов опасности), концентрация которых превышает установленные нормативы качества окружающей среды и (или) санитарно-гигиенические нормативы, включая предельно допустимые концентрации химических веществ в водах</w:t>
      </w:r>
      <w:r>
        <w:rPr>
          <w:rFonts w:ascii="Times New Roman" w:hAnsi="Times New Roman"/>
          <w:sz w:val="28"/>
        </w:rPr>
        <w:t xml:space="preserve"> водных объектов, атмосферном </w:t>
      </w:r>
      <w:r>
        <w:rPr>
          <w:rFonts w:ascii="Times New Roman" w:hAnsi="Times New Roman"/>
          <w:sz w:val="28"/>
        </w:rPr>
        <w:t>воздухе</w:t>
      </w:r>
      <w:r>
        <w:rPr>
          <w:rFonts w:ascii="Times New Roman" w:hAnsi="Times New Roman"/>
          <w:sz w:val="28"/>
        </w:rPr>
        <w:t>, почве);</w:t>
      </w:r>
    </w:p>
    <w:p w14:paraId="52000000">
      <w:pPr>
        <w:spacing w:after="0"/>
        <w:ind w:firstLine="709"/>
        <w:jc w:val="both"/>
        <w:rPr>
          <w:rFonts w:ascii="Times New Roman" w:hAnsi="Times New Roman"/>
          <w:sz w:val="28"/>
        </w:rPr>
      </w:pPr>
      <w:r>
        <w:rPr>
          <w:rFonts w:ascii="Times New Roman" w:hAnsi="Times New Roman"/>
          <w:sz w:val="28"/>
        </w:rPr>
        <w:t>информацию о классификационных признаках (происхождение, состав, агрегатное и физическое состояние) и классе опасности отходов, расположенных на объекте;</w:t>
      </w:r>
    </w:p>
    <w:p w14:paraId="53000000">
      <w:pPr>
        <w:spacing w:after="0"/>
        <w:ind w:firstLine="709"/>
        <w:jc w:val="both"/>
        <w:rPr>
          <w:rFonts w:ascii="Times New Roman" w:hAnsi="Times New Roman"/>
          <w:sz w:val="28"/>
        </w:rPr>
      </w:pPr>
      <w:r>
        <w:rPr>
          <w:rFonts w:ascii="Times New Roman" w:hAnsi="Times New Roman"/>
          <w:sz w:val="28"/>
        </w:rPr>
        <w:t xml:space="preserve">сведения о нахождении объекта в границах Арктической зоны Российской Федерации, центральной экологической зоны Байкальской природной территории, особо охраняемых природных территорий, а также в границах первой - шестой </w:t>
      </w:r>
      <w:r>
        <w:rPr>
          <w:rFonts w:ascii="Times New Roman" w:hAnsi="Times New Roman"/>
          <w:sz w:val="28"/>
        </w:rPr>
        <w:t>подзон</w:t>
      </w:r>
      <w:r>
        <w:rPr>
          <w:rFonts w:ascii="Times New Roman" w:hAnsi="Times New Roman"/>
          <w:sz w:val="28"/>
        </w:rPr>
        <w:t xml:space="preserve"> </w:t>
      </w:r>
      <w:r>
        <w:rPr>
          <w:rFonts w:ascii="Times New Roman" w:hAnsi="Times New Roman"/>
          <w:sz w:val="28"/>
        </w:rPr>
        <w:t>приаэродромной</w:t>
      </w:r>
      <w:r>
        <w:rPr>
          <w:rFonts w:ascii="Times New Roman" w:hAnsi="Times New Roman"/>
          <w:sz w:val="28"/>
        </w:rPr>
        <w:t xml:space="preserve"> территории, в границах </w:t>
      </w:r>
      <w:r>
        <w:rPr>
          <w:rFonts w:ascii="Times New Roman" w:hAnsi="Times New Roman"/>
          <w:sz w:val="28"/>
        </w:rPr>
        <w:t>водоохранной</w:t>
      </w:r>
      <w:r>
        <w:rPr>
          <w:rFonts w:ascii="Times New Roman" w:hAnsi="Times New Roman"/>
          <w:sz w:val="28"/>
        </w:rPr>
        <w:t xml:space="preserve"> зоны, прибрежной защитной полосы, охранной зоны особо охраняемой природной территории (государственного природного заповедника, национального парка, природного парка, памятника природы), округа санитарной (горно-санитарной) охраны лечебно-оздоровительных местностей, курортов и природных</w:t>
      </w:r>
      <w:r>
        <w:rPr>
          <w:rFonts w:ascii="Times New Roman" w:hAnsi="Times New Roman"/>
          <w:sz w:val="28"/>
        </w:rPr>
        <w:t xml:space="preserve"> лечебных ресурсов, зоны санитарной охраны источников питьевого и хозяйственно-бытового водоснабжения, </w:t>
      </w:r>
      <w:r>
        <w:rPr>
          <w:rFonts w:ascii="Times New Roman" w:hAnsi="Times New Roman"/>
          <w:sz w:val="28"/>
        </w:rPr>
        <w:t>рыбохозяйственной</w:t>
      </w:r>
      <w:r>
        <w:rPr>
          <w:rFonts w:ascii="Times New Roman" w:hAnsi="Times New Roman"/>
          <w:sz w:val="28"/>
        </w:rPr>
        <w:t xml:space="preserve"> заповедной зоны;</w:t>
      </w:r>
    </w:p>
    <w:p w14:paraId="54000000">
      <w:pPr>
        <w:spacing w:after="0"/>
        <w:ind w:firstLine="709"/>
        <w:jc w:val="both"/>
        <w:rPr>
          <w:rFonts w:ascii="Times New Roman" w:hAnsi="Times New Roman"/>
          <w:sz w:val="28"/>
        </w:rPr>
      </w:pPr>
      <w:r>
        <w:rPr>
          <w:rFonts w:ascii="Times New Roman" w:hAnsi="Times New Roman"/>
          <w:sz w:val="28"/>
        </w:rPr>
        <w:t>информацию о количестве населения, проживающего на территории</w:t>
      </w:r>
      <w:r>
        <w:rPr>
          <w:rFonts w:ascii="Times New Roman" w:hAnsi="Times New Roman"/>
          <w:sz w:val="28"/>
        </w:rPr>
        <w:t xml:space="preserve"> поселения</w:t>
      </w:r>
      <w:r>
        <w:rPr>
          <w:rFonts w:ascii="Times New Roman" w:hAnsi="Times New Roman"/>
          <w:sz w:val="28"/>
        </w:rPr>
        <w:t>, окружающая среда на которой может быть подвержена негативному воздействию объекта;</w:t>
      </w:r>
    </w:p>
    <w:p w14:paraId="55000000">
      <w:pPr>
        <w:spacing w:after="0"/>
        <w:ind w:firstLine="709"/>
        <w:jc w:val="both"/>
        <w:rPr>
          <w:rFonts w:ascii="Times New Roman" w:hAnsi="Times New Roman"/>
          <w:sz w:val="28"/>
        </w:rPr>
      </w:pPr>
      <w:r>
        <w:rPr>
          <w:rFonts w:ascii="Times New Roman" w:hAnsi="Times New Roman"/>
          <w:sz w:val="28"/>
        </w:rPr>
        <w:t xml:space="preserve">обоснование планируемых мероприятий и наилучшие доступные технологии, а в случае их отсутствия - технологии, являющиеся экономически </w:t>
      </w:r>
      <w:r>
        <w:rPr>
          <w:rFonts w:ascii="Times New Roman" w:hAnsi="Times New Roman"/>
          <w:sz w:val="28"/>
        </w:rPr>
        <w:t>эффективными и не превышающими нормативы допустимого воздействия на окружающую среду;</w:t>
      </w:r>
    </w:p>
    <w:p w14:paraId="56000000">
      <w:pPr>
        <w:spacing w:after="0"/>
        <w:ind w:firstLine="709"/>
        <w:jc w:val="both"/>
        <w:rPr>
          <w:rFonts w:ascii="Times New Roman" w:hAnsi="Times New Roman"/>
          <w:sz w:val="28"/>
        </w:rPr>
      </w:pPr>
      <w:r>
        <w:rPr>
          <w:rFonts w:ascii="Times New Roman" w:hAnsi="Times New Roman"/>
          <w:sz w:val="28"/>
        </w:rPr>
        <w:t>описание требований к параметрам и качественным характеристикам мероприятий по ликвидации накопленного вреда;</w:t>
      </w:r>
    </w:p>
    <w:p w14:paraId="57000000">
      <w:pPr>
        <w:spacing w:after="0"/>
        <w:ind w:firstLine="709"/>
        <w:jc w:val="both"/>
        <w:rPr>
          <w:rFonts w:ascii="Times New Roman" w:hAnsi="Times New Roman"/>
          <w:sz w:val="28"/>
        </w:rPr>
      </w:pPr>
      <w:r>
        <w:rPr>
          <w:rFonts w:ascii="Times New Roman" w:hAnsi="Times New Roman"/>
          <w:sz w:val="28"/>
        </w:rPr>
        <w:t>обоснование достижения нормативов качества окружающей среды, гигиенических нормативов, обеспечения соответствия строительным нормам и правилам состояния земель по окончании работ по ликвидации накопленного вреда;</w:t>
      </w:r>
    </w:p>
    <w:p w14:paraId="58000000">
      <w:pPr>
        <w:spacing w:after="0"/>
        <w:ind w:firstLine="709"/>
        <w:jc w:val="both"/>
        <w:rPr>
          <w:rFonts w:ascii="Times New Roman" w:hAnsi="Times New Roman"/>
          <w:sz w:val="28"/>
        </w:rPr>
      </w:pPr>
      <w:r>
        <w:rPr>
          <w:rFonts w:ascii="Times New Roman" w:hAnsi="Times New Roman"/>
          <w:sz w:val="28"/>
        </w:rPr>
        <w:t>б) раздел "Содержание, объемы и график ликвидации накопленного вреда", включающий:</w:t>
      </w:r>
    </w:p>
    <w:p w14:paraId="59000000">
      <w:pPr>
        <w:spacing w:after="0"/>
        <w:ind w:firstLine="709"/>
        <w:jc w:val="both"/>
        <w:rPr>
          <w:rFonts w:ascii="Times New Roman" w:hAnsi="Times New Roman"/>
          <w:sz w:val="28"/>
        </w:rPr>
      </w:pPr>
      <w:r>
        <w:rPr>
          <w:rFonts w:ascii="Times New Roman" w:hAnsi="Times New Roman"/>
          <w:sz w:val="28"/>
        </w:rPr>
        <w:t>результаты обследования объекта, которое проводится в объеме, необходимом для обоснования состава мероприятий по ликвидации накопленного вреда, в том числе почвенные и иные полевые обследования, а также лабораторные исследования;</w:t>
      </w:r>
    </w:p>
    <w:p w14:paraId="5A000000">
      <w:pPr>
        <w:spacing w:after="0"/>
        <w:ind w:firstLine="709"/>
        <w:jc w:val="both"/>
        <w:rPr>
          <w:rFonts w:ascii="Times New Roman" w:hAnsi="Times New Roman"/>
          <w:sz w:val="28"/>
        </w:rPr>
      </w:pPr>
      <w:r>
        <w:rPr>
          <w:rFonts w:ascii="Times New Roman" w:hAnsi="Times New Roman"/>
          <w:sz w:val="28"/>
        </w:rPr>
        <w:t>состав мероприятий по ликвидации накопленного вреда в объемах, необходимых для достижения нормативов качества окружающей среды, гигиенических нормативов, обеспечения соответствия строительным нормам и правилам;</w:t>
      </w:r>
    </w:p>
    <w:p w14:paraId="5B000000">
      <w:pPr>
        <w:spacing w:after="0"/>
        <w:ind w:firstLine="709"/>
        <w:jc w:val="both"/>
        <w:rPr>
          <w:rFonts w:ascii="Times New Roman" w:hAnsi="Times New Roman"/>
          <w:sz w:val="28"/>
        </w:rPr>
      </w:pPr>
      <w:r>
        <w:rPr>
          <w:rFonts w:ascii="Times New Roman" w:hAnsi="Times New Roman"/>
          <w:sz w:val="28"/>
        </w:rPr>
        <w:t>последовательность и объем проведения мероприятий по ликвидации накопленного вреда;</w:t>
      </w:r>
    </w:p>
    <w:p w14:paraId="5C000000">
      <w:pPr>
        <w:spacing w:after="0"/>
        <w:ind w:firstLine="709"/>
        <w:jc w:val="both"/>
        <w:rPr>
          <w:rFonts w:ascii="Times New Roman" w:hAnsi="Times New Roman"/>
          <w:sz w:val="28"/>
        </w:rPr>
      </w:pPr>
      <w:r>
        <w:rPr>
          <w:rFonts w:ascii="Times New Roman" w:hAnsi="Times New Roman"/>
          <w:sz w:val="28"/>
        </w:rPr>
        <w:t>сроки проведения мероприятий по ликвидации накопленного вреда с разбивкой по этапам проведения отдельных видов работ, в том числе график ликвидации накопленного вреда (помесячный);</w:t>
      </w:r>
    </w:p>
    <w:p w14:paraId="5D000000">
      <w:pPr>
        <w:spacing w:after="0"/>
        <w:ind w:firstLine="709"/>
        <w:jc w:val="both"/>
        <w:rPr>
          <w:rFonts w:ascii="Times New Roman" w:hAnsi="Times New Roman"/>
          <w:sz w:val="28"/>
        </w:rPr>
      </w:pPr>
      <w:r>
        <w:rPr>
          <w:rFonts w:ascii="Times New Roman" w:hAnsi="Times New Roman"/>
          <w:sz w:val="28"/>
        </w:rPr>
        <w:t>планируемые сроки окончания сдачи работ по ликвидации накопленного вреда;</w:t>
      </w:r>
    </w:p>
    <w:p w14:paraId="5E000000">
      <w:pPr>
        <w:spacing w:after="0"/>
        <w:ind w:firstLine="709"/>
        <w:jc w:val="both"/>
        <w:rPr>
          <w:rFonts w:ascii="Times New Roman" w:hAnsi="Times New Roman"/>
          <w:sz w:val="28"/>
        </w:rPr>
      </w:pPr>
      <w:r>
        <w:rPr>
          <w:rFonts w:ascii="Times New Roman" w:hAnsi="Times New Roman"/>
          <w:sz w:val="28"/>
        </w:rPr>
        <w:t xml:space="preserve">порядок осуществления заказчиком </w:t>
      </w:r>
      <w:r>
        <w:rPr>
          <w:rFonts w:ascii="Times New Roman" w:hAnsi="Times New Roman"/>
          <w:sz w:val="28"/>
        </w:rPr>
        <w:t>контроля за</w:t>
      </w:r>
      <w:r>
        <w:rPr>
          <w:rFonts w:ascii="Times New Roman" w:hAnsi="Times New Roman"/>
          <w:sz w:val="28"/>
        </w:rPr>
        <w:t xml:space="preserve"> выполнением работ по ликвидации накопленного вреда, а также контроля за привлечением исполнителем к выполнению контракта субподрядчиков и сроками выполнения такого контракта;</w:t>
      </w:r>
    </w:p>
    <w:p w14:paraId="5F000000">
      <w:pPr>
        <w:spacing w:after="0"/>
        <w:ind w:firstLine="709"/>
        <w:jc w:val="both"/>
        <w:rPr>
          <w:rFonts w:ascii="Times New Roman" w:hAnsi="Times New Roman"/>
          <w:sz w:val="28"/>
        </w:rPr>
      </w:pPr>
      <w:r>
        <w:rPr>
          <w:rFonts w:ascii="Times New Roman" w:hAnsi="Times New Roman"/>
          <w:sz w:val="28"/>
        </w:rPr>
        <w:t>в) раздел "Сметные расчеты затрат на проведение ликвидации накопленного вреда", включающий сводку затрат (при необходимости), локальные сметные расчеты, объектные сметные расчеты, сметные расчеты на отдельные виды затрат, сводный сметный расчет стоимости работ с приложением пояснительной записки.</w:t>
      </w:r>
    </w:p>
    <w:p w14:paraId="60000000">
      <w:pPr>
        <w:spacing w:after="0"/>
        <w:ind w:firstLine="709"/>
        <w:jc w:val="both"/>
        <w:rPr>
          <w:rFonts w:ascii="Times New Roman" w:hAnsi="Times New Roman"/>
          <w:sz w:val="28"/>
        </w:rPr>
      </w:pPr>
      <w:r>
        <w:rPr>
          <w:rFonts w:ascii="Times New Roman" w:hAnsi="Times New Roman"/>
          <w:sz w:val="28"/>
        </w:rPr>
        <w:t xml:space="preserve">8. </w:t>
      </w:r>
      <w:r>
        <w:rPr>
          <w:rFonts w:ascii="Times New Roman" w:hAnsi="Times New Roman"/>
          <w:sz w:val="28"/>
        </w:rPr>
        <w:t>В случае если при ликвидации накопленного вреда планируется снос объектов капитального строительства, их частей, в проект ликвидации включается раздел "Проект организации работ по сносу объектов капитального строительства, их частей" (за исключением случаев необходимости сноса объектов капитального строительства, их частей для строительства, реконструкции других объектов капитального строительства), разрабатываемый в соответствии с требованиями к составу и содержанию проекта организации работ по сносу</w:t>
      </w:r>
      <w:r>
        <w:rPr>
          <w:rFonts w:ascii="Times New Roman" w:hAnsi="Times New Roman"/>
          <w:sz w:val="28"/>
        </w:rPr>
        <w:t xml:space="preserve"> объекта капитального строительства, утвержденными постановлением Правительства Российской Федерации от 26 апреля 2019 г. N 509 "Об утверждении требований к составу и содержанию проекта организации работ по сносу объекта капитального строительства".</w:t>
      </w:r>
    </w:p>
    <w:p w14:paraId="61000000">
      <w:pPr>
        <w:spacing w:after="0"/>
        <w:ind w:firstLine="709"/>
        <w:jc w:val="both"/>
        <w:rPr>
          <w:rFonts w:ascii="Times New Roman" w:hAnsi="Times New Roman"/>
          <w:sz w:val="28"/>
        </w:rPr>
      </w:pPr>
      <w:r>
        <w:rPr>
          <w:rFonts w:ascii="Times New Roman" w:hAnsi="Times New Roman"/>
          <w:sz w:val="28"/>
        </w:rPr>
        <w:t>В случае если при ликвидации накопленного вреда планируются строительство, реконструкция объектов капитального строительства, проект ликвидации приобщается к проектной документации на строительство, реконструкцию объекта капитального строительства, разрабатываемой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 N 87 "О составе разделов проектной документации и требованиях к</w:t>
      </w:r>
      <w:r>
        <w:rPr>
          <w:rFonts w:ascii="Times New Roman" w:hAnsi="Times New Roman"/>
          <w:sz w:val="28"/>
        </w:rPr>
        <w:t xml:space="preserve"> их содержанию".</w:t>
      </w:r>
    </w:p>
    <w:p w14:paraId="62000000">
      <w:pPr>
        <w:spacing w:after="0"/>
        <w:ind w:firstLine="709"/>
        <w:jc w:val="both"/>
        <w:rPr>
          <w:rFonts w:ascii="Times New Roman" w:hAnsi="Times New Roman"/>
          <w:sz w:val="28"/>
        </w:rPr>
      </w:pPr>
      <w:r>
        <w:rPr>
          <w:rFonts w:ascii="Times New Roman" w:hAnsi="Times New Roman"/>
          <w:sz w:val="28"/>
        </w:rPr>
        <w:t>В случае если при ликвидации накопленного вреда планируются работы по рекультивации земель или консервации земель, в проект ликвидации включается раздел "Рекультивация (консервация) земель", который разрабатывается в соответствии с Правилами проведения рекультивации и консервации земель, утвержденными постановлением Правительства Российской Федерации от 10 июля 2018 г. N 800 "О проведении рекультивации и консервации земель".</w:t>
      </w:r>
    </w:p>
    <w:p w14:paraId="63000000">
      <w:pPr>
        <w:spacing w:after="0"/>
        <w:ind w:firstLine="709"/>
        <w:jc w:val="both"/>
        <w:rPr>
          <w:rFonts w:ascii="Times New Roman" w:hAnsi="Times New Roman"/>
          <w:sz w:val="28"/>
        </w:rPr>
      </w:pPr>
    </w:p>
    <w:p w14:paraId="64000000">
      <w:pPr>
        <w:spacing w:after="0"/>
        <w:ind w:firstLine="709"/>
        <w:jc w:val="both"/>
        <w:rPr>
          <w:rFonts w:ascii="Times New Roman" w:hAnsi="Times New Roman"/>
          <w:sz w:val="28"/>
        </w:rPr>
      </w:pPr>
      <w:r>
        <w:rPr>
          <w:rFonts w:ascii="Times New Roman" w:hAnsi="Times New Roman"/>
          <w:sz w:val="28"/>
        </w:rPr>
        <w:t>9. Проекты ликвидации до их утверждения подлежат:</w:t>
      </w:r>
    </w:p>
    <w:p w14:paraId="65000000">
      <w:pPr>
        <w:spacing w:after="0"/>
        <w:ind w:firstLine="709"/>
        <w:jc w:val="both"/>
        <w:rPr>
          <w:rFonts w:ascii="Times New Roman" w:hAnsi="Times New Roman"/>
          <w:sz w:val="28"/>
        </w:rPr>
      </w:pPr>
      <w:r>
        <w:rPr>
          <w:rFonts w:ascii="Times New Roman" w:hAnsi="Times New Roman"/>
          <w:sz w:val="28"/>
        </w:rPr>
        <w:t>а) государственной экологической экспертизе;</w:t>
      </w:r>
    </w:p>
    <w:p w14:paraId="66000000">
      <w:pPr>
        <w:spacing w:after="0"/>
        <w:ind w:firstLine="709"/>
        <w:jc w:val="both"/>
        <w:rPr>
          <w:rFonts w:ascii="Times New Roman" w:hAnsi="Times New Roman"/>
          <w:sz w:val="28"/>
        </w:rPr>
      </w:pPr>
      <w:r>
        <w:rPr>
          <w:rFonts w:ascii="Times New Roman" w:hAnsi="Times New Roman"/>
          <w:sz w:val="28"/>
        </w:rPr>
        <w:t>б) проверке достоверности определения сметной стоимости проектов ликвидации, за исключением проектов ликвидации, подлежащих государственной экспертизе проектной документации в соответствии с Градостроительным кодексом Российской Федерации в связи с планируемыми строительством, реконструкцией объектов капитального строительства, осуществляемой Федеральной службой по надзору в сфере природопользования или подведомственными ей федеральными государственными бюджетными учреждениями;</w:t>
      </w:r>
    </w:p>
    <w:p w14:paraId="67000000">
      <w:pPr>
        <w:spacing w:after="0"/>
        <w:ind w:firstLine="709"/>
        <w:jc w:val="both"/>
        <w:rPr>
          <w:rFonts w:ascii="Times New Roman" w:hAnsi="Times New Roman"/>
          <w:sz w:val="28"/>
        </w:rPr>
      </w:pPr>
      <w:r>
        <w:rPr>
          <w:rFonts w:ascii="Times New Roman" w:hAnsi="Times New Roman"/>
          <w:sz w:val="28"/>
        </w:rPr>
        <w:t>в) государственной экспертизе проектной документации и результатов инженерных изысканий в случаях, установленных законодательством о градостроительной деятельности.</w:t>
      </w:r>
    </w:p>
    <w:p w14:paraId="68000000">
      <w:pPr>
        <w:spacing w:after="0"/>
        <w:ind w:firstLine="709"/>
        <w:jc w:val="both"/>
        <w:rPr>
          <w:rFonts w:ascii="Times New Roman" w:hAnsi="Times New Roman"/>
          <w:sz w:val="28"/>
        </w:rPr>
      </w:pPr>
    </w:p>
    <w:p w14:paraId="69000000">
      <w:pPr>
        <w:spacing w:after="0"/>
        <w:ind w:firstLine="709"/>
        <w:jc w:val="both"/>
        <w:rPr>
          <w:rFonts w:ascii="Times New Roman" w:hAnsi="Times New Roman"/>
          <w:sz w:val="28"/>
        </w:rPr>
      </w:pPr>
      <w:r>
        <w:rPr>
          <w:rFonts w:ascii="Times New Roman" w:hAnsi="Times New Roman"/>
          <w:sz w:val="28"/>
        </w:rPr>
        <w:t xml:space="preserve">10. </w:t>
      </w:r>
      <w:r>
        <w:rPr>
          <w:rFonts w:ascii="Times New Roman" w:hAnsi="Times New Roman"/>
          <w:sz w:val="28"/>
        </w:rPr>
        <w:t>Проект ликвидации, получивший положительные заключения необходимых государственных экспертиз и проверки достоверности определения сметной стоимости проектов ликвидации, осуществляемой Федеральной службой по надзору в сфере природопользования или подведомственными ей федеральными государственными бюджетными учреждениями, в соответствии с </w:t>
      </w:r>
      <w:r>
        <w:rPr>
          <w:rStyle w:val="Style_6_ch"/>
          <w:rFonts w:ascii="Times New Roman" w:hAnsi="Times New Roman"/>
          <w:color w:val="808080"/>
          <w:sz w:val="28"/>
        </w:rPr>
        <w:fldChar w:fldCharType="begin"/>
      </w:r>
      <w:r>
        <w:rPr>
          <w:rStyle w:val="Style_6_ch"/>
          <w:rFonts w:ascii="Times New Roman" w:hAnsi="Times New Roman"/>
          <w:color w:val="808080"/>
          <w:sz w:val="28"/>
        </w:rPr>
        <w:instrText>HYPERLINK "https://www.garant.ru/products/ipo/prime/doc/408214267/#1091"</w:instrText>
      </w:r>
      <w:r>
        <w:rPr>
          <w:rStyle w:val="Style_6_ch"/>
          <w:rFonts w:ascii="Times New Roman" w:hAnsi="Times New Roman"/>
          <w:color w:val="808080"/>
          <w:sz w:val="28"/>
        </w:rPr>
        <w:fldChar w:fldCharType="separate"/>
      </w:r>
      <w:r>
        <w:rPr>
          <w:rStyle w:val="Style_6_ch"/>
          <w:rFonts w:ascii="Times New Roman" w:hAnsi="Times New Roman"/>
          <w:color w:val="808080"/>
          <w:sz w:val="28"/>
        </w:rPr>
        <w:t>подпунктами "а" - "в" пункта 9</w:t>
      </w:r>
      <w:r>
        <w:rPr>
          <w:rStyle w:val="Style_6_ch"/>
          <w:rFonts w:ascii="Times New Roman" w:hAnsi="Times New Roman"/>
          <w:color w:val="808080"/>
          <w:sz w:val="28"/>
        </w:rPr>
        <w:fldChar w:fldCharType="end"/>
      </w:r>
      <w:r>
        <w:rPr>
          <w:rFonts w:ascii="Times New Roman" w:hAnsi="Times New Roman"/>
          <w:sz w:val="28"/>
        </w:rPr>
        <w:t> настоящих Правил, в течение 10 рабочих дней со дня выдачи последнего положительного заключения утверждается заказчиком.</w:t>
      </w:r>
    </w:p>
    <w:p w14:paraId="6A000000">
      <w:pPr>
        <w:spacing w:after="0"/>
        <w:ind w:firstLine="709"/>
        <w:jc w:val="both"/>
        <w:rPr>
          <w:rFonts w:ascii="Times New Roman" w:hAnsi="Times New Roman"/>
          <w:sz w:val="28"/>
        </w:rPr>
      </w:pPr>
    </w:p>
    <w:p w14:paraId="6B000000">
      <w:pPr>
        <w:spacing w:after="0"/>
        <w:ind w:firstLine="709"/>
        <w:jc w:val="both"/>
        <w:rPr>
          <w:rFonts w:ascii="Times New Roman" w:hAnsi="Times New Roman"/>
          <w:sz w:val="28"/>
        </w:rPr>
      </w:pPr>
      <w:r>
        <w:rPr>
          <w:rFonts w:ascii="Times New Roman" w:hAnsi="Times New Roman"/>
          <w:sz w:val="28"/>
        </w:rPr>
        <w:t>11. Ликвидация накопленного вреда проводится исполнителем в соответствии с проектом ликвидации, утвержденным заказчиком.</w:t>
      </w:r>
    </w:p>
    <w:p w14:paraId="6C000000">
      <w:pPr>
        <w:spacing w:after="0"/>
        <w:ind w:firstLine="709"/>
        <w:jc w:val="both"/>
        <w:rPr>
          <w:rFonts w:ascii="Times New Roman" w:hAnsi="Times New Roman"/>
          <w:sz w:val="28"/>
        </w:rPr>
      </w:pPr>
    </w:p>
    <w:p w14:paraId="6D000000">
      <w:pPr>
        <w:spacing w:after="0"/>
        <w:ind w:firstLine="709"/>
        <w:jc w:val="both"/>
        <w:rPr>
          <w:rFonts w:ascii="Times New Roman" w:hAnsi="Times New Roman"/>
          <w:sz w:val="28"/>
        </w:rPr>
      </w:pPr>
      <w:r>
        <w:rPr>
          <w:rFonts w:ascii="Times New Roman" w:hAnsi="Times New Roman"/>
          <w:sz w:val="28"/>
        </w:rPr>
        <w:t xml:space="preserve">12. Заказчик осуществляет </w:t>
      </w:r>
      <w:r>
        <w:rPr>
          <w:rFonts w:ascii="Times New Roman" w:hAnsi="Times New Roman"/>
          <w:sz w:val="28"/>
        </w:rPr>
        <w:t>контроль за</w:t>
      </w:r>
      <w:r>
        <w:rPr>
          <w:rFonts w:ascii="Times New Roman" w:hAnsi="Times New Roman"/>
          <w:sz w:val="28"/>
        </w:rPr>
        <w:t xml:space="preserve"> выполнением контракта на проведение ликвидации накопленного вреда в порядке, определенном законодательством Российской Федерации о контрактной системе в сфере </w:t>
      </w:r>
      <w:r>
        <w:rPr>
          <w:rFonts w:ascii="Times New Roman" w:hAnsi="Times New Roman"/>
          <w:sz w:val="28"/>
        </w:rPr>
        <w:t>закупок товаров, работ, услуг для обеспечения государственных и муниципальных нужд и настоящими Правилами.</w:t>
      </w:r>
    </w:p>
    <w:p w14:paraId="6E000000">
      <w:pPr>
        <w:spacing w:after="0"/>
        <w:ind w:firstLine="709"/>
        <w:jc w:val="both"/>
        <w:rPr>
          <w:rFonts w:ascii="Times New Roman" w:hAnsi="Times New Roman"/>
          <w:sz w:val="28"/>
        </w:rPr>
      </w:pPr>
    </w:p>
    <w:p w14:paraId="6F000000">
      <w:pPr>
        <w:spacing w:after="0"/>
        <w:ind w:firstLine="709"/>
        <w:jc w:val="both"/>
        <w:rPr>
          <w:rFonts w:ascii="Times New Roman" w:hAnsi="Times New Roman"/>
          <w:sz w:val="28"/>
        </w:rPr>
      </w:pPr>
      <w:r>
        <w:rPr>
          <w:rFonts w:ascii="Times New Roman" w:hAnsi="Times New Roman"/>
          <w:sz w:val="28"/>
        </w:rPr>
        <w:t>13. Федеральная служба по надзору в сфере природопользования с привлечением представителей подведомственных федеральных государственных бюджетных учреждений - центров лабораторного анализа и технических измерений по соответствующим федеральным округам осуществляет наблюдение за ходом ликвидации накопленного вреда.</w:t>
      </w:r>
    </w:p>
    <w:p w14:paraId="70000000">
      <w:pPr>
        <w:spacing w:after="0"/>
        <w:ind w:firstLine="709"/>
        <w:jc w:val="both"/>
        <w:rPr>
          <w:rFonts w:ascii="Times New Roman" w:hAnsi="Times New Roman"/>
          <w:sz w:val="28"/>
        </w:rPr>
      </w:pPr>
      <w:r>
        <w:rPr>
          <w:rFonts w:ascii="Times New Roman" w:hAnsi="Times New Roman"/>
          <w:sz w:val="28"/>
        </w:rPr>
        <w:t>Наблюдение за ходом ликвидации накопленного вреда осуществляется посредством использования систем (методов) дистанционного наблюдения, присутствия на территории объекта, применения специальных технических средств, имеющих функции фотосъемки, аудио- и видеозаписи, измерения, иных средств сбора или фиксации информации, посредством отбора и анализа проб компонентов природной среды на территории проведения ликвидации накопленного вреда, а также анализа полученной отчетности о ходе ликвидации накопленного вреда.</w:t>
      </w:r>
    </w:p>
    <w:p w14:paraId="71000000">
      <w:pPr>
        <w:spacing w:after="0"/>
        <w:ind w:firstLine="709"/>
        <w:jc w:val="both"/>
        <w:rPr>
          <w:rFonts w:ascii="Times New Roman" w:hAnsi="Times New Roman"/>
          <w:sz w:val="28"/>
        </w:rPr>
      </w:pPr>
      <w:r>
        <w:rPr>
          <w:rFonts w:ascii="Times New Roman" w:hAnsi="Times New Roman"/>
          <w:sz w:val="28"/>
        </w:rPr>
        <w:t>Наблюдение за ходом ликвидации накопленного вреда осуществляется без ограничения срока его проведения.</w:t>
      </w:r>
    </w:p>
    <w:p w14:paraId="72000000">
      <w:pPr>
        <w:spacing w:after="0"/>
        <w:ind w:firstLine="709"/>
        <w:jc w:val="both"/>
        <w:rPr>
          <w:rFonts w:ascii="Times New Roman" w:hAnsi="Times New Roman"/>
          <w:sz w:val="28"/>
        </w:rPr>
      </w:pPr>
      <w:r>
        <w:rPr>
          <w:rFonts w:ascii="Times New Roman" w:hAnsi="Times New Roman"/>
          <w:sz w:val="28"/>
        </w:rPr>
        <w:t>Исполнитель не вправе препятствовать осуществлению Федеральной службой по надзору в сфере природопользования с привлечением представителей подведомственных ей федеральных государственных бюджетных учреждений наблюдения за ходом ликвидации накопленного вреда.</w:t>
      </w:r>
    </w:p>
    <w:p w14:paraId="73000000">
      <w:pPr>
        <w:spacing w:after="0"/>
        <w:ind w:firstLine="709"/>
        <w:jc w:val="both"/>
        <w:rPr>
          <w:rFonts w:ascii="Times New Roman" w:hAnsi="Times New Roman"/>
          <w:sz w:val="28"/>
        </w:rPr>
      </w:pPr>
      <w:r>
        <w:rPr>
          <w:rFonts w:ascii="Times New Roman" w:hAnsi="Times New Roman"/>
          <w:sz w:val="28"/>
        </w:rPr>
        <w:t>Федеральная служба по надзору в сфере природопользования и представители подведомственных ей федеральных государственных бюджетных учреждений вправе запрашивать у заказчика информацию, необходимую для осуществления наблюдения за ходом ликвидации накопленного вреда.</w:t>
      </w:r>
    </w:p>
    <w:p w14:paraId="74000000">
      <w:pPr>
        <w:spacing w:after="0"/>
        <w:ind w:firstLine="709"/>
        <w:jc w:val="both"/>
        <w:rPr>
          <w:rFonts w:ascii="Times New Roman" w:hAnsi="Times New Roman"/>
          <w:sz w:val="28"/>
        </w:rPr>
      </w:pPr>
      <w:r>
        <w:rPr>
          <w:rFonts w:ascii="Times New Roman" w:hAnsi="Times New Roman"/>
          <w:sz w:val="28"/>
        </w:rPr>
        <w:t>В случае выявления фактов отступления от утвержденного проекта ликвидации Федеральная служба по надзору в сфере природопользования в течение</w:t>
      </w:r>
      <w:r>
        <w:rPr>
          <w:rFonts w:ascii="Times New Roman" w:hAnsi="Times New Roman"/>
          <w:sz w:val="28"/>
        </w:rPr>
        <w:t xml:space="preserve"> 10 рабочих дней с момента их выявления уведомляет об этом заказчика.</w:t>
      </w:r>
    </w:p>
    <w:p w14:paraId="75000000">
      <w:pPr>
        <w:spacing w:after="0"/>
        <w:ind w:firstLine="709"/>
        <w:jc w:val="both"/>
        <w:rPr>
          <w:rFonts w:ascii="Times New Roman" w:hAnsi="Times New Roman"/>
          <w:sz w:val="28"/>
        </w:rPr>
      </w:pPr>
    </w:p>
    <w:p w14:paraId="76000000">
      <w:pPr>
        <w:spacing w:after="0"/>
        <w:ind w:firstLine="709"/>
        <w:jc w:val="both"/>
        <w:rPr>
          <w:rFonts w:ascii="Times New Roman" w:hAnsi="Times New Roman"/>
          <w:sz w:val="28"/>
        </w:rPr>
      </w:pPr>
      <w:r>
        <w:rPr>
          <w:rFonts w:ascii="Times New Roman" w:hAnsi="Times New Roman"/>
          <w:sz w:val="28"/>
        </w:rPr>
        <w:t>14. Заказчик в течение 30 календарных дней со дня получения уведомления от Федеральной службы по надзору в сфере природопользования обеспечивает устранение фактов отступления от утвержденного проекта ликвидации.</w:t>
      </w:r>
    </w:p>
    <w:p w14:paraId="77000000">
      <w:pPr>
        <w:spacing w:after="0"/>
        <w:ind w:firstLine="709"/>
        <w:jc w:val="both"/>
        <w:rPr>
          <w:rFonts w:ascii="Times New Roman" w:hAnsi="Times New Roman"/>
          <w:sz w:val="28"/>
        </w:rPr>
      </w:pPr>
    </w:p>
    <w:p w14:paraId="78000000">
      <w:pPr>
        <w:spacing w:after="0"/>
        <w:ind w:firstLine="709"/>
        <w:jc w:val="both"/>
        <w:rPr>
          <w:rFonts w:ascii="Times New Roman" w:hAnsi="Times New Roman"/>
          <w:sz w:val="28"/>
        </w:rPr>
      </w:pPr>
      <w:r>
        <w:rPr>
          <w:rFonts w:ascii="Times New Roman" w:hAnsi="Times New Roman"/>
          <w:sz w:val="28"/>
        </w:rPr>
        <w:t>15. Заказчик направляет в течение 10 рабочих дней со дня выполнения мероприятий, предусмотренных проектом ликвидации, в Федеральную службу по надзору в сфере природопользования письменное извещение о завершении ликвидации накопленного вреда.</w:t>
      </w:r>
    </w:p>
    <w:p w14:paraId="79000000">
      <w:pPr>
        <w:spacing w:after="0"/>
        <w:ind w:firstLine="709"/>
        <w:jc w:val="both"/>
        <w:rPr>
          <w:rFonts w:ascii="Times New Roman" w:hAnsi="Times New Roman"/>
          <w:sz w:val="28"/>
        </w:rPr>
      </w:pPr>
    </w:p>
    <w:p w14:paraId="7A000000">
      <w:pPr>
        <w:spacing w:after="0"/>
        <w:ind w:firstLine="709"/>
        <w:jc w:val="both"/>
        <w:rPr>
          <w:rFonts w:ascii="Times New Roman" w:hAnsi="Times New Roman"/>
          <w:sz w:val="28"/>
        </w:rPr>
      </w:pPr>
      <w:r>
        <w:rPr>
          <w:rFonts w:ascii="Times New Roman" w:hAnsi="Times New Roman"/>
          <w:sz w:val="28"/>
        </w:rPr>
        <w:t>16. Федеральная служба по надзору в сфере природопользования в течение 30 календарных дней со дня получения извещения, указанного в </w:t>
      </w:r>
      <w:r>
        <w:rPr>
          <w:rStyle w:val="Style_6_ch"/>
          <w:rFonts w:ascii="Times New Roman" w:hAnsi="Times New Roman"/>
          <w:color w:val="808080"/>
          <w:sz w:val="28"/>
        </w:rPr>
        <w:fldChar w:fldCharType="begin"/>
      </w:r>
      <w:r>
        <w:rPr>
          <w:rStyle w:val="Style_6_ch"/>
          <w:rFonts w:ascii="Times New Roman" w:hAnsi="Times New Roman"/>
          <w:color w:val="808080"/>
          <w:sz w:val="28"/>
        </w:rPr>
        <w:instrText>HYPERLINK "https://www.garant.ru/products/ipo/prime/doc/408214267/#1015"</w:instrText>
      </w:r>
      <w:r>
        <w:rPr>
          <w:rStyle w:val="Style_6_ch"/>
          <w:rFonts w:ascii="Times New Roman" w:hAnsi="Times New Roman"/>
          <w:color w:val="808080"/>
          <w:sz w:val="28"/>
        </w:rPr>
        <w:fldChar w:fldCharType="separate"/>
      </w:r>
      <w:r>
        <w:rPr>
          <w:rStyle w:val="Style_6_ch"/>
          <w:rFonts w:ascii="Times New Roman" w:hAnsi="Times New Roman"/>
          <w:color w:val="808080"/>
          <w:sz w:val="28"/>
        </w:rPr>
        <w:t xml:space="preserve">пункте </w:t>
      </w:r>
      <w:r>
        <w:rPr>
          <w:rStyle w:val="Style_6_ch"/>
          <w:rFonts w:ascii="Times New Roman" w:hAnsi="Times New Roman"/>
          <w:color w:val="808080"/>
          <w:sz w:val="28"/>
        </w:rPr>
        <w:t>15</w:t>
      </w:r>
      <w:r>
        <w:rPr>
          <w:rStyle w:val="Style_6_ch"/>
          <w:rFonts w:ascii="Times New Roman" w:hAnsi="Times New Roman"/>
          <w:color w:val="808080"/>
          <w:sz w:val="28"/>
        </w:rPr>
        <w:fldChar w:fldCharType="end"/>
      </w:r>
      <w:r>
        <w:rPr>
          <w:rFonts w:ascii="Times New Roman" w:hAnsi="Times New Roman"/>
          <w:sz w:val="28"/>
        </w:rPr>
        <w:t> настоящих Правил, готовит заключение, содержащее обоснованные выводы о выполнении мероприятий в соответствии с проектом ликвидации, которые обеспечивают устранение накопленного вреда, либо отказ в выдаче заключения с обоснованием такого отказа.</w:t>
      </w:r>
    </w:p>
    <w:p w14:paraId="7B000000">
      <w:pPr>
        <w:spacing w:after="0"/>
        <w:ind w:firstLine="709"/>
        <w:jc w:val="both"/>
        <w:rPr>
          <w:rFonts w:ascii="Times New Roman" w:hAnsi="Times New Roman"/>
          <w:sz w:val="28"/>
        </w:rPr>
      </w:pPr>
    </w:p>
    <w:p w14:paraId="7C000000">
      <w:pPr>
        <w:spacing w:after="0"/>
        <w:ind w:firstLine="709"/>
        <w:jc w:val="both"/>
        <w:rPr>
          <w:rFonts w:ascii="Times New Roman" w:hAnsi="Times New Roman"/>
          <w:sz w:val="28"/>
        </w:rPr>
      </w:pPr>
      <w:r>
        <w:rPr>
          <w:rFonts w:ascii="Times New Roman" w:hAnsi="Times New Roman"/>
          <w:sz w:val="28"/>
        </w:rPr>
        <w:t>17. Основанием для отказа в выдаче заключения является ликвидация накопленного вреда с отступлением от проекта ликвидации, утвержденного заказчиком и получившего положительные заключения, предусмотренные </w:t>
      </w:r>
      <w:r>
        <w:rPr>
          <w:rStyle w:val="Style_6_ch"/>
          <w:rFonts w:ascii="Times New Roman" w:hAnsi="Times New Roman"/>
          <w:color w:val="808080"/>
          <w:sz w:val="28"/>
        </w:rPr>
        <w:fldChar w:fldCharType="begin"/>
      </w:r>
      <w:r>
        <w:rPr>
          <w:rStyle w:val="Style_6_ch"/>
          <w:rFonts w:ascii="Times New Roman" w:hAnsi="Times New Roman"/>
          <w:color w:val="808080"/>
          <w:sz w:val="28"/>
        </w:rPr>
        <w:instrText>HYPERLINK "https://www.garant.ru/products/ipo/prime/doc/408214267/#1010"</w:instrText>
      </w:r>
      <w:r>
        <w:rPr>
          <w:rStyle w:val="Style_6_ch"/>
          <w:rFonts w:ascii="Times New Roman" w:hAnsi="Times New Roman"/>
          <w:color w:val="808080"/>
          <w:sz w:val="28"/>
        </w:rPr>
        <w:fldChar w:fldCharType="separate"/>
      </w:r>
      <w:r>
        <w:rPr>
          <w:rStyle w:val="Style_6_ch"/>
          <w:rFonts w:ascii="Times New Roman" w:hAnsi="Times New Roman"/>
          <w:color w:val="808080"/>
          <w:sz w:val="28"/>
        </w:rPr>
        <w:t>пунктом 10</w:t>
      </w:r>
      <w:r>
        <w:rPr>
          <w:rStyle w:val="Style_6_ch"/>
          <w:rFonts w:ascii="Times New Roman" w:hAnsi="Times New Roman"/>
          <w:color w:val="808080"/>
          <w:sz w:val="28"/>
        </w:rPr>
        <w:fldChar w:fldCharType="end"/>
      </w:r>
      <w:r>
        <w:rPr>
          <w:rFonts w:ascii="Times New Roman" w:hAnsi="Times New Roman"/>
          <w:sz w:val="28"/>
        </w:rPr>
        <w:t> настоящих Правил.</w:t>
      </w:r>
    </w:p>
    <w:p w14:paraId="7D000000">
      <w:pPr>
        <w:spacing w:after="0"/>
        <w:ind w:firstLine="709"/>
        <w:jc w:val="both"/>
        <w:rPr>
          <w:rFonts w:ascii="Times New Roman" w:hAnsi="Times New Roman"/>
          <w:sz w:val="28"/>
        </w:rPr>
      </w:pPr>
    </w:p>
    <w:p w14:paraId="7E000000">
      <w:pPr>
        <w:spacing w:after="0"/>
        <w:ind w:firstLine="709"/>
        <w:jc w:val="both"/>
        <w:rPr>
          <w:rFonts w:ascii="Times New Roman" w:hAnsi="Times New Roman"/>
          <w:sz w:val="28"/>
        </w:rPr>
      </w:pPr>
      <w:r>
        <w:rPr>
          <w:rFonts w:ascii="Times New Roman" w:hAnsi="Times New Roman"/>
          <w:sz w:val="28"/>
        </w:rPr>
        <w:t>18. Федеральная служба по надзору в сфере природопользования направляет заказчику заключение либо отказ в выдаче заключения в электронном виде в течение 5 рабочих дней со дня утверждения заключения или со дня отказа в его выдаче.</w:t>
      </w:r>
    </w:p>
    <w:p w14:paraId="7F000000">
      <w:pPr>
        <w:spacing w:after="0"/>
        <w:ind w:firstLine="709"/>
        <w:jc w:val="both"/>
        <w:rPr>
          <w:rFonts w:ascii="Times New Roman" w:hAnsi="Times New Roman"/>
          <w:sz w:val="28"/>
        </w:rPr>
      </w:pPr>
    </w:p>
    <w:p w14:paraId="80000000">
      <w:pPr>
        <w:spacing w:after="0"/>
        <w:ind w:firstLine="709"/>
        <w:jc w:val="both"/>
        <w:rPr>
          <w:rFonts w:ascii="Times New Roman" w:hAnsi="Times New Roman"/>
          <w:sz w:val="28"/>
        </w:rPr>
      </w:pPr>
      <w:r>
        <w:rPr>
          <w:rFonts w:ascii="Times New Roman" w:hAnsi="Times New Roman"/>
          <w:sz w:val="28"/>
        </w:rPr>
        <w:t>19. После устранения причин отказа в выдаче заключения заказчик направляет в Федеральную службу по надзору в сфере природопользования документы, подтверждающие устранение причин отказа в выдаче заключения.</w:t>
      </w:r>
    </w:p>
    <w:p w14:paraId="81000000">
      <w:pPr>
        <w:spacing w:after="0"/>
        <w:ind w:firstLine="709"/>
        <w:jc w:val="both"/>
        <w:rPr>
          <w:rFonts w:ascii="Times New Roman" w:hAnsi="Times New Roman"/>
          <w:sz w:val="28"/>
        </w:rPr>
      </w:pPr>
    </w:p>
    <w:p w14:paraId="82000000">
      <w:pPr>
        <w:spacing w:after="0"/>
        <w:ind w:firstLine="709"/>
        <w:jc w:val="both"/>
        <w:rPr>
          <w:rFonts w:ascii="Times New Roman" w:hAnsi="Times New Roman"/>
          <w:sz w:val="28"/>
        </w:rPr>
      </w:pPr>
      <w:r>
        <w:rPr>
          <w:rFonts w:ascii="Times New Roman" w:hAnsi="Times New Roman"/>
          <w:sz w:val="28"/>
        </w:rPr>
        <w:t>20. Федеральная служба по надзору в сфере природопользования в течение 30 календарных дней со дня получения документов, указанных в </w:t>
      </w:r>
      <w:r>
        <w:rPr>
          <w:rStyle w:val="Style_6_ch"/>
          <w:rFonts w:ascii="Times New Roman" w:hAnsi="Times New Roman"/>
          <w:color w:val="808080"/>
          <w:sz w:val="28"/>
        </w:rPr>
        <w:fldChar w:fldCharType="begin"/>
      </w:r>
      <w:r>
        <w:rPr>
          <w:rStyle w:val="Style_6_ch"/>
          <w:rFonts w:ascii="Times New Roman" w:hAnsi="Times New Roman"/>
          <w:color w:val="808080"/>
          <w:sz w:val="28"/>
        </w:rPr>
        <w:instrText>HYPERLINK "https://www.garant.ru/products/ipo/prime/doc/408214267/#1019"</w:instrText>
      </w:r>
      <w:r>
        <w:rPr>
          <w:rStyle w:val="Style_6_ch"/>
          <w:rFonts w:ascii="Times New Roman" w:hAnsi="Times New Roman"/>
          <w:color w:val="808080"/>
          <w:sz w:val="28"/>
        </w:rPr>
        <w:fldChar w:fldCharType="separate"/>
      </w:r>
      <w:r>
        <w:rPr>
          <w:rStyle w:val="Style_6_ch"/>
          <w:rFonts w:ascii="Times New Roman" w:hAnsi="Times New Roman"/>
          <w:color w:val="808080"/>
          <w:sz w:val="28"/>
        </w:rPr>
        <w:t>пункте 19</w:t>
      </w:r>
      <w:r>
        <w:rPr>
          <w:rStyle w:val="Style_6_ch"/>
          <w:rFonts w:ascii="Times New Roman" w:hAnsi="Times New Roman"/>
          <w:color w:val="808080"/>
          <w:sz w:val="28"/>
        </w:rPr>
        <w:fldChar w:fldCharType="end"/>
      </w:r>
      <w:r>
        <w:rPr>
          <w:rFonts w:ascii="Times New Roman" w:hAnsi="Times New Roman"/>
          <w:sz w:val="28"/>
        </w:rPr>
        <w:t> настоящих Правил, готовит заключение либо отказ в выдаче заключения с обоснованием такого отказа.</w:t>
      </w:r>
    </w:p>
    <w:p w14:paraId="83000000">
      <w:pPr>
        <w:spacing w:after="0"/>
        <w:ind w:firstLine="709"/>
        <w:jc w:val="both"/>
        <w:rPr>
          <w:rFonts w:ascii="Times New Roman" w:hAnsi="Times New Roman"/>
          <w:sz w:val="28"/>
        </w:rPr>
      </w:pPr>
    </w:p>
    <w:p w14:paraId="84000000">
      <w:pPr>
        <w:spacing w:after="0"/>
        <w:ind w:firstLine="709"/>
        <w:jc w:val="both"/>
        <w:rPr>
          <w:rFonts w:ascii="Times New Roman" w:hAnsi="Times New Roman"/>
          <w:sz w:val="28"/>
        </w:rPr>
      </w:pPr>
      <w:r>
        <w:rPr>
          <w:rFonts w:ascii="Times New Roman" w:hAnsi="Times New Roman"/>
          <w:sz w:val="28"/>
        </w:rPr>
        <w:t>21. Объект считается ликвидированным при наличии заключения.</w:t>
      </w:r>
    </w:p>
    <w:p w14:paraId="85000000">
      <w:pPr>
        <w:spacing w:after="0"/>
        <w:ind w:firstLine="709"/>
        <w:jc w:val="both"/>
        <w:rPr>
          <w:rFonts w:ascii="Times New Roman" w:hAnsi="Times New Roman"/>
          <w:sz w:val="28"/>
        </w:rPr>
      </w:pPr>
    </w:p>
    <w:p w14:paraId="86000000">
      <w:pPr>
        <w:spacing w:after="0"/>
        <w:ind w:firstLine="709"/>
        <w:jc w:val="both"/>
        <w:rPr>
          <w:rFonts w:ascii="Times New Roman" w:hAnsi="Times New Roman"/>
          <w:sz w:val="28"/>
        </w:rPr>
      </w:pPr>
      <w:r>
        <w:rPr>
          <w:rFonts w:ascii="Times New Roman" w:hAnsi="Times New Roman"/>
          <w:sz w:val="28"/>
        </w:rPr>
        <w:t>22. Акт о приемке ликвидации накопленного вреда на объекте подписывается заказчиком и исполнителем в течение 5 рабочих дней со дня поступления заключения.</w:t>
      </w:r>
    </w:p>
    <w:p w14:paraId="87000000">
      <w:pPr>
        <w:spacing w:after="0"/>
        <w:ind w:firstLine="709"/>
        <w:jc w:val="both"/>
        <w:rPr>
          <w:rFonts w:ascii="Times New Roman" w:hAnsi="Times New Roman"/>
          <w:sz w:val="28"/>
        </w:rPr>
      </w:pPr>
    </w:p>
    <w:p w14:paraId="88000000">
      <w:pPr>
        <w:spacing w:after="0"/>
        <w:ind w:firstLine="709"/>
        <w:jc w:val="both"/>
        <w:rPr>
          <w:rFonts w:ascii="Times New Roman" w:hAnsi="Times New Roman"/>
          <w:sz w:val="28"/>
        </w:rPr>
      </w:pPr>
      <w:r>
        <w:rPr>
          <w:rFonts w:ascii="Times New Roman" w:hAnsi="Times New Roman"/>
          <w:sz w:val="28"/>
        </w:rPr>
        <w:t>23. Акт о приемке ликвидации накопленного вреда на объекте и заключение направляются заказчиком в Министерство природных ресурсов и экологии Российской Федерации для исключения объекта из государственного реестра объектов накопленного вреда окружающей среде, за исключением случаев, когда заказчиком организации ликвидации накопленного вреда является Министерство природных ресурсов и экологии Российской Федерации.</w:t>
      </w:r>
    </w:p>
    <w:p w14:paraId="89000000">
      <w:pPr>
        <w:spacing w:after="0" w:line="240" w:lineRule="auto"/>
        <w:ind w:firstLine="709"/>
        <w:jc w:val="both"/>
        <w:rPr>
          <w:rFonts w:ascii="Times New Roman" w:hAnsi="Times New Roman"/>
          <w:color w:val="000000"/>
          <w:sz w:val="28"/>
        </w:rPr>
      </w:pPr>
    </w:p>
    <w:p w14:paraId="8A000000">
      <w:pPr>
        <w:tabs>
          <w:tab w:leader="none" w:pos="715" w:val="left"/>
        </w:tabs>
        <w:spacing w:line="274" w:lineRule="exact"/>
        <w:ind w:firstLine="709"/>
        <w:jc w:val="both"/>
        <w:rPr>
          <w:rFonts w:ascii="Times New Roman" w:hAnsi="Times New Roman"/>
          <w:sz w:val="28"/>
        </w:rPr>
      </w:pPr>
    </w:p>
    <w:p w14:paraId="8B000000">
      <w:pPr>
        <w:tabs>
          <w:tab w:leader="none" w:pos="715" w:val="left"/>
        </w:tabs>
        <w:spacing w:line="274" w:lineRule="exact"/>
        <w:ind w:firstLine="709"/>
        <w:jc w:val="both"/>
        <w:rPr>
          <w:rFonts w:ascii="Times New Roman" w:hAnsi="Times New Roman"/>
          <w:sz w:val="28"/>
        </w:rPr>
      </w:pPr>
    </w:p>
    <w:p w14:paraId="8C000000">
      <w:pPr>
        <w:tabs>
          <w:tab w:leader="none" w:pos="715" w:val="left"/>
        </w:tabs>
        <w:spacing w:line="274" w:lineRule="exact"/>
        <w:ind w:firstLine="709"/>
        <w:jc w:val="both"/>
        <w:rPr>
          <w:rFonts w:ascii="Times New Roman" w:hAnsi="Times New Roman"/>
          <w:sz w:val="28"/>
        </w:rPr>
      </w:pPr>
      <w:r>
        <w:rPr>
          <w:rFonts w:ascii="Times New Roman" w:hAnsi="Times New Roman"/>
          <w:sz w:val="28"/>
        </w:rPr>
        <w:t xml:space="preserve">Старший инспектор </w:t>
      </w:r>
      <w:r>
        <w:rPr>
          <w:rFonts w:ascii="Times New Roman" w:hAnsi="Times New Roman"/>
          <w:sz w:val="28"/>
        </w:rPr>
        <w:t>по делопроизводству</w:t>
      </w:r>
    </w:p>
    <w:p w14:paraId="8D000000">
      <w:pPr>
        <w:tabs>
          <w:tab w:leader="none" w:pos="715" w:val="left"/>
        </w:tabs>
        <w:spacing w:line="274" w:lineRule="exact"/>
        <w:ind w:firstLine="709"/>
        <w:jc w:val="both"/>
        <w:rPr>
          <w:rFonts w:ascii="Times New Roman" w:hAnsi="Times New Roman"/>
          <w:sz w:val="28"/>
        </w:rPr>
      </w:pPr>
      <w:r>
        <w:rPr>
          <w:rFonts w:ascii="Times New Roman" w:hAnsi="Times New Roman"/>
          <w:sz w:val="28"/>
        </w:rPr>
        <w:t>и архивной работе                                                                    Ю.С.Булименко</w:t>
      </w:r>
    </w:p>
    <w:p w14:paraId="8E000000">
      <w:pPr>
        <w:tabs>
          <w:tab w:leader="none" w:pos="715" w:val="left"/>
        </w:tabs>
        <w:spacing w:line="274" w:lineRule="exact"/>
        <w:ind w:firstLine="709"/>
        <w:jc w:val="both"/>
        <w:rPr>
          <w:rFonts w:ascii="Times New Roman" w:hAnsi="Times New Roman"/>
          <w:sz w:val="28"/>
        </w:rPr>
      </w:pPr>
    </w:p>
    <w:sectPr>
      <w:footerReference r:id="rId1" w:type="default"/>
      <w:pgSz w:h="16820" w:orient="portrait" w:w="11900"/>
      <w:pgMar w:bottom="1134" w:footer="720" w:gutter="0" w:header="720"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rPr>
        <w:rStyle w:val="Style_1_ch"/>
      </w:rPr>
      <w:fldChar w:fldCharType="begin"/>
    </w:r>
    <w:r>
      <w:rPr>
        <w:rStyle w:val="Style_1_ch"/>
      </w:rPr>
      <w:instrText xml:space="preserve">PAGE </w:instrText>
    </w:r>
    <w:r>
      <w:rPr>
        <w:rStyle w:val="Style_1_ch"/>
      </w:rPr>
      <w:fldChar w:fldCharType="separate"/>
    </w:r>
    <w:r>
      <w:rPr>
        <w:rStyle w:val="Style_1_ch"/>
      </w:rPr>
      <w:fldChar w:fldCharType="end"/>
    </w:r>
  </w:p>
  <w:p w14:paraId="01000000">
    <w:pPr>
      <w:pStyle w:val="Style_2"/>
      <w:ind w:right="360"/>
    </w:pP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rPr>
        <w:rStyle w:val="Style_1_ch"/>
      </w:rPr>
      <w:fldChar w:fldCharType="begin"/>
    </w:r>
    <w:r>
      <w:rPr>
        <w:rStyle w:val="Style_1_ch"/>
      </w:rPr>
      <w:instrText xml:space="preserve">PAGE </w:instrText>
    </w:r>
    <w:r>
      <w:rPr>
        <w:rStyle w:val="Style_1_ch"/>
      </w:rPr>
      <w:fldChar w:fldCharType="separate"/>
    </w:r>
    <w:r>
      <w:rPr>
        <w:rStyle w:val="Style_1_ch"/>
      </w:rPr>
      <w:fldChar w:fldCharType="end"/>
    </w:r>
  </w:p>
  <w:p w14:paraId="02000000">
    <w:pPr>
      <w:pStyle w:val="Style_2"/>
      <w:ind w:right="360"/>
    </w:pPr>
  </w:p>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rPr>
        <w:rStyle w:val="Style_1_ch"/>
      </w:rPr>
      <w:fldChar w:fldCharType="begin"/>
    </w:r>
    <w:r>
      <w:rPr>
        <w:rStyle w:val="Style_1_ch"/>
      </w:rPr>
      <w:instrText xml:space="preserve">PAGE </w:instrText>
    </w:r>
    <w:r>
      <w:rPr>
        <w:rStyle w:val="Style_1_ch"/>
      </w:rPr>
      <w:fldChar w:fldCharType="separate"/>
    </w:r>
    <w:r>
      <w:rPr>
        <w:rStyle w:val="Style_1_ch"/>
      </w:rPr>
      <w:fldChar w:fldCharType="end"/>
    </w:r>
  </w:p>
  <w:p w14:paraId="03000000">
    <w:pPr>
      <w:pStyle w:val="Style_2"/>
      <w:ind w:right="360"/>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upperRoman"/>
      <w:pStyle w:val="Style_9"/>
      <w:lvlText w:val="%1."/>
      <w:lvlJc w:val="left"/>
      <w:pPr>
        <w:tabs>
          <w:tab w:leader="none" w:pos="1571" w:val="left"/>
        </w:tabs>
        <w:ind w:hanging="720" w:left="1571"/>
      </w:pPr>
    </w:lvl>
    <w:lvl w:ilvl="1">
      <w:start w:val="1"/>
      <w:numFmt w:val="decimal"/>
      <w:lvlText w:val="%1.%2."/>
      <w:lvlJc w:val="left"/>
      <w:pPr>
        <w:tabs>
          <w:tab w:leader="none" w:pos="1571" w:val="left"/>
        </w:tabs>
        <w:ind w:hanging="720" w:left="1571"/>
      </w:pPr>
      <w:rPr>
        <w:sz w:val="28"/>
      </w:rPr>
    </w:lvl>
    <w:lvl w:ilvl="2">
      <w:start w:val="1"/>
      <w:numFmt w:val="decimal"/>
      <w:lvlText w:val="%1.%2.%3."/>
      <w:lvlJc w:val="left"/>
      <w:pPr>
        <w:tabs>
          <w:tab w:leader="none" w:pos="1571" w:val="left"/>
        </w:tabs>
        <w:ind w:hanging="720" w:left="1571"/>
      </w:pPr>
      <w:rPr>
        <w:sz w:val="28"/>
      </w:rPr>
    </w:lvl>
    <w:lvl w:ilvl="3">
      <w:start w:val="1"/>
      <w:numFmt w:val="decimal"/>
      <w:lvlText w:val="%1.%2.%3.%4."/>
      <w:lvlJc w:val="left"/>
      <w:pPr>
        <w:tabs>
          <w:tab w:leader="none" w:pos="1931" w:val="left"/>
        </w:tabs>
        <w:ind w:hanging="1080" w:left="1931"/>
      </w:pPr>
      <w:rPr>
        <w:sz w:val="28"/>
      </w:rPr>
    </w:lvl>
    <w:lvl w:ilvl="4">
      <w:start w:val="1"/>
      <w:numFmt w:val="decimal"/>
      <w:lvlText w:val="%1.%2.%3.%4.%5."/>
      <w:lvlJc w:val="left"/>
      <w:pPr>
        <w:tabs>
          <w:tab w:leader="none" w:pos="1931" w:val="left"/>
        </w:tabs>
        <w:ind w:hanging="1080" w:left="1931"/>
      </w:pPr>
      <w:rPr>
        <w:sz w:val="28"/>
      </w:rPr>
    </w:lvl>
    <w:lvl w:ilvl="5">
      <w:start w:val="1"/>
      <w:numFmt w:val="decimal"/>
      <w:lvlText w:val="%1.%2.%3.%4.%5.%6."/>
      <w:lvlJc w:val="left"/>
      <w:pPr>
        <w:tabs>
          <w:tab w:leader="none" w:pos="2291" w:val="left"/>
        </w:tabs>
        <w:ind w:hanging="1440" w:left="2291"/>
      </w:pPr>
      <w:rPr>
        <w:sz w:val="28"/>
      </w:rPr>
    </w:lvl>
    <w:lvl w:ilvl="6">
      <w:start w:val="1"/>
      <w:numFmt w:val="decimal"/>
      <w:lvlText w:val="%1.%2.%3.%4.%5.%6.%7."/>
      <w:lvlJc w:val="left"/>
      <w:pPr>
        <w:tabs>
          <w:tab w:leader="none" w:pos="2291" w:val="left"/>
        </w:tabs>
        <w:ind w:hanging="1440" w:left="2291"/>
      </w:pPr>
      <w:rPr>
        <w:sz w:val="28"/>
      </w:rPr>
    </w:lvl>
    <w:lvl w:ilvl="7">
      <w:start w:val="1"/>
      <w:numFmt w:val="decimal"/>
      <w:lvlText w:val="%1.%2.%3.%4.%5.%6.%7.%8."/>
      <w:lvlJc w:val="left"/>
      <w:pPr>
        <w:tabs>
          <w:tab w:leader="none" w:pos="2651" w:val="left"/>
        </w:tabs>
        <w:ind w:hanging="1800" w:left="2651"/>
      </w:pPr>
      <w:rPr>
        <w:sz w:val="28"/>
      </w:rPr>
    </w:lvl>
    <w:lvl w:ilvl="8">
      <w:start w:val="1"/>
      <w:numFmt w:val="decimal"/>
      <w:lvlText w:val="%1.%2.%3.%4.%5.%6.%7.%8.%9."/>
      <w:lvlJc w:val="left"/>
      <w:pPr>
        <w:tabs>
          <w:tab w:leader="none" w:pos="2651" w:val="left"/>
        </w:tabs>
        <w:ind w:hanging="1800" w:left="2651"/>
      </w:pPr>
      <w:rPr>
        <w:sz w:val="28"/>
      </w:r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7" w:type="paragraph">
    <w:name w:val="toc 2"/>
    <w:next w:val="Style_5"/>
    <w:link w:val="Style_7_ch"/>
    <w:uiPriority w:val="39"/>
    <w:pPr>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toc 4"/>
    <w:next w:val="Style_5"/>
    <w:link w:val="Style_8_ch"/>
    <w:uiPriority w:val="39"/>
    <w:pPr>
      <w:ind w:firstLine="0" w:left="600"/>
      <w:jc w:val="left"/>
    </w:pPr>
    <w:rPr>
      <w:rFonts w:ascii="XO Thames" w:hAnsi="XO Thames"/>
      <w:sz w:val="28"/>
    </w:rPr>
  </w:style>
  <w:style w:styleId="Style_8_ch" w:type="character">
    <w:name w:val="toc 4"/>
    <w:link w:val="Style_8"/>
    <w:rPr>
      <w:rFonts w:ascii="XO Thames" w:hAnsi="XO Thames"/>
      <w:sz w:val="28"/>
    </w:rPr>
  </w:style>
  <w:style w:styleId="Style_9" w:type="paragraph">
    <w:name w:val="heading 7"/>
    <w:basedOn w:val="Style_5"/>
    <w:next w:val="Style_5"/>
    <w:link w:val="Style_9_ch"/>
    <w:uiPriority w:val="9"/>
    <w:qFormat/>
    <w:pPr>
      <w:keepNext w:val="1"/>
      <w:numPr>
        <w:ilvl w:val="0"/>
        <w:numId w:val="1"/>
      </w:numPr>
      <w:spacing w:line="24" w:lineRule="atLeast"/>
      <w:ind/>
      <w:outlineLvl w:val="6"/>
    </w:pPr>
    <w:rPr>
      <w:sz w:val="28"/>
    </w:rPr>
  </w:style>
  <w:style w:styleId="Style_9_ch" w:type="character">
    <w:name w:val="heading 7"/>
    <w:basedOn w:val="Style_5_ch"/>
    <w:link w:val="Style_9"/>
    <w:rPr>
      <w:sz w:val="28"/>
    </w:rPr>
  </w:style>
  <w:style w:styleId="Style_10" w:type="paragraph">
    <w:name w:val="toc 6"/>
    <w:next w:val="Style_5"/>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5"/>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Body Text Indent"/>
    <w:basedOn w:val="Style_5"/>
    <w:link w:val="Style_12_ch"/>
    <w:pPr>
      <w:ind w:firstLine="0" w:left="360"/>
    </w:pPr>
    <w:rPr>
      <w:sz w:val="24"/>
    </w:rPr>
  </w:style>
  <w:style w:styleId="Style_12_ch" w:type="character">
    <w:name w:val="Body Text Indent"/>
    <w:basedOn w:val="Style_5_ch"/>
    <w:link w:val="Style_12"/>
    <w:rPr>
      <w:sz w:val="24"/>
    </w:rPr>
  </w:style>
  <w:style w:styleId="Style_2" w:type="paragraph">
    <w:name w:val="footer"/>
    <w:basedOn w:val="Style_5"/>
    <w:link w:val="Style_2_ch"/>
    <w:pPr>
      <w:tabs>
        <w:tab w:leader="none" w:pos="4703" w:val="center"/>
        <w:tab w:leader="none" w:pos="9406" w:val="right"/>
      </w:tabs>
      <w:ind/>
    </w:pPr>
  </w:style>
  <w:style w:styleId="Style_2_ch" w:type="character">
    <w:name w:val="footer"/>
    <w:basedOn w:val="Style_5_ch"/>
    <w:link w:val="Style_2"/>
  </w:style>
  <w:style w:styleId="Style_13" w:type="paragraph">
    <w:name w:val="heading 3"/>
    <w:basedOn w:val="Style_5"/>
    <w:next w:val="Style_5"/>
    <w:link w:val="Style_13_ch"/>
    <w:uiPriority w:val="9"/>
    <w:qFormat/>
    <w:pPr>
      <w:keepNext w:val="1"/>
      <w:ind/>
      <w:outlineLvl w:val="2"/>
    </w:pPr>
    <w:rPr>
      <w:sz w:val="28"/>
    </w:rPr>
  </w:style>
  <w:style w:styleId="Style_13_ch" w:type="character">
    <w:name w:val="heading 3"/>
    <w:basedOn w:val="Style_5_ch"/>
    <w:link w:val="Style_13"/>
    <w:rPr>
      <w:sz w:val="28"/>
    </w:rPr>
  </w:style>
  <w:style w:styleId="Style_1" w:type="paragraph">
    <w:name w:val="page number"/>
    <w:link w:val="Style_1_ch"/>
  </w:style>
  <w:style w:styleId="Style_1_ch" w:type="character">
    <w:name w:val="page number"/>
    <w:link w:val="Style_1"/>
  </w:style>
  <w:style w:styleId="Style_14" w:type="paragraph">
    <w:name w:val="header"/>
    <w:basedOn w:val="Style_5"/>
    <w:link w:val="Style_14_ch"/>
    <w:pPr>
      <w:tabs>
        <w:tab w:leader="none" w:pos="4703" w:val="center"/>
        <w:tab w:leader="none" w:pos="9406" w:val="right"/>
      </w:tabs>
      <w:ind/>
    </w:pPr>
  </w:style>
  <w:style w:styleId="Style_14_ch" w:type="character">
    <w:name w:val="header"/>
    <w:basedOn w:val="Style_5_ch"/>
    <w:link w:val="Style_14"/>
  </w:style>
  <w:style w:styleId="Style_15" w:type="paragraph">
    <w:name w:val="toc 3"/>
    <w:next w:val="Style_5"/>
    <w:link w:val="Style_15_ch"/>
    <w:uiPriority w:val="39"/>
    <w:pPr>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Body Text Indent 2"/>
    <w:basedOn w:val="Style_5"/>
    <w:link w:val="Style_16_ch"/>
    <w:pPr>
      <w:ind w:firstLine="851" w:left="0"/>
      <w:jc w:val="both"/>
    </w:pPr>
    <w:rPr>
      <w:sz w:val="26"/>
    </w:rPr>
  </w:style>
  <w:style w:styleId="Style_16_ch" w:type="character">
    <w:name w:val="Body Text Indent 2"/>
    <w:basedOn w:val="Style_5_ch"/>
    <w:link w:val="Style_16"/>
    <w:rPr>
      <w:sz w:val="26"/>
    </w:rPr>
  </w:style>
  <w:style w:styleId="Style_17" w:type="paragraph">
    <w:name w:val="Default Paragraph Font"/>
    <w:link w:val="Style_17_ch"/>
  </w:style>
  <w:style w:styleId="Style_17_ch" w:type="character">
    <w:name w:val="Default Paragraph Font"/>
    <w:link w:val="Style_17"/>
  </w:style>
  <w:style w:styleId="Style_18" w:type="paragraph">
    <w:name w:val="heading 5"/>
    <w:basedOn w:val="Style_5"/>
    <w:next w:val="Style_5"/>
    <w:link w:val="Style_18_ch"/>
    <w:uiPriority w:val="9"/>
    <w:qFormat/>
    <w:pPr>
      <w:keepNext w:val="1"/>
      <w:ind/>
      <w:jc w:val="center"/>
      <w:outlineLvl w:val="4"/>
    </w:pPr>
    <w:rPr>
      <w:sz w:val="26"/>
    </w:rPr>
  </w:style>
  <w:style w:styleId="Style_18_ch" w:type="character">
    <w:name w:val="heading 5"/>
    <w:basedOn w:val="Style_5_ch"/>
    <w:link w:val="Style_18"/>
    <w:rPr>
      <w:sz w:val="26"/>
    </w:rPr>
  </w:style>
  <w:style w:styleId="Style_19" w:type="paragraph">
    <w:name w:val="ConsPlusNormal"/>
    <w:link w:val="Style_19_ch"/>
    <w:pPr>
      <w:widowControl w:val="0"/>
      <w:ind/>
    </w:pPr>
    <w:rPr>
      <w:rFonts w:ascii="Arial" w:hAnsi="Arial"/>
    </w:rPr>
  </w:style>
  <w:style w:styleId="Style_19_ch" w:type="character">
    <w:name w:val="ConsPlusNormal"/>
    <w:link w:val="Style_19"/>
    <w:rPr>
      <w:rFonts w:ascii="Arial" w:hAnsi="Arial"/>
    </w:rPr>
  </w:style>
  <w:style w:styleId="Style_3" w:type="paragraph">
    <w:name w:val="heading 1"/>
    <w:basedOn w:val="Style_5"/>
    <w:next w:val="Style_5"/>
    <w:link w:val="Style_3_ch"/>
    <w:uiPriority w:val="9"/>
    <w:qFormat/>
    <w:pPr>
      <w:keepNext w:val="1"/>
      <w:ind/>
      <w:outlineLvl w:val="0"/>
    </w:pPr>
    <w:rPr>
      <w:b w:val="1"/>
    </w:rPr>
  </w:style>
  <w:style w:styleId="Style_3_ch" w:type="character">
    <w:name w:val="heading 1"/>
    <w:basedOn w:val="Style_5_ch"/>
    <w:link w:val="Style_3"/>
    <w:rPr>
      <w:b w:val="1"/>
    </w:rPr>
  </w:style>
  <w:style w:styleId="Style_20" w:type="paragraph">
    <w:name w:val="ConsPlusTitle"/>
    <w:link w:val="Style_20_ch"/>
    <w:pPr>
      <w:widowControl w:val="0"/>
      <w:ind/>
    </w:pPr>
    <w:rPr>
      <w:rFonts w:ascii="Arial" w:hAnsi="Arial"/>
      <w:b w:val="1"/>
    </w:rPr>
  </w:style>
  <w:style w:styleId="Style_20_ch" w:type="character">
    <w:name w:val="ConsPlusTitle"/>
    <w:link w:val="Style_20"/>
    <w:rPr>
      <w:rFonts w:ascii="Arial" w:hAnsi="Arial"/>
      <w:b w:val="1"/>
    </w:rPr>
  </w:style>
  <w:style w:styleId="Style_6" w:type="paragraph">
    <w:name w:val="Hyperlink"/>
    <w:link w:val="Style_6_ch"/>
    <w:rPr>
      <w:color w:val="0000FF"/>
      <w:u w:val="single"/>
    </w:rPr>
  </w:style>
  <w:style w:styleId="Style_6_ch" w:type="character">
    <w:name w:val="Hyperlink"/>
    <w:link w:val="Style_6"/>
    <w:rPr>
      <w:color w:val="0000FF"/>
      <w:u w:val="single"/>
    </w:rPr>
  </w:style>
  <w:style w:styleId="Style_21" w:type="paragraph">
    <w:name w:val="Footnote"/>
    <w:link w:val="Style_21_ch"/>
    <w:pPr>
      <w:ind w:firstLine="851" w:left="0"/>
      <w:jc w:val="both"/>
    </w:pPr>
    <w:rPr>
      <w:rFonts w:ascii="XO Thames" w:hAnsi="XO Thames"/>
      <w:sz w:val="22"/>
    </w:rPr>
  </w:style>
  <w:style w:styleId="Style_21_ch" w:type="character">
    <w:name w:val="Footnote"/>
    <w:link w:val="Style_21"/>
    <w:rPr>
      <w:rFonts w:ascii="XO Thames" w:hAnsi="XO Thames"/>
      <w:sz w:val="22"/>
    </w:rPr>
  </w:style>
  <w:style w:styleId="Style_22" w:type="paragraph">
    <w:name w:val="heading 8"/>
    <w:basedOn w:val="Style_5"/>
    <w:next w:val="Style_5"/>
    <w:link w:val="Style_22_ch"/>
    <w:uiPriority w:val="9"/>
    <w:qFormat/>
    <w:pPr>
      <w:keepNext w:val="1"/>
      <w:ind w:firstLine="851" w:left="0"/>
      <w:jc w:val="right"/>
      <w:outlineLvl w:val="7"/>
    </w:pPr>
    <w:rPr>
      <w:sz w:val="28"/>
    </w:rPr>
  </w:style>
  <w:style w:styleId="Style_22_ch" w:type="character">
    <w:name w:val="heading 8"/>
    <w:basedOn w:val="Style_5_ch"/>
    <w:link w:val="Style_22"/>
    <w:rPr>
      <w:sz w:val="28"/>
    </w:rPr>
  </w:style>
  <w:style w:styleId="Style_23" w:type="paragraph">
    <w:name w:val="toc 1"/>
    <w:next w:val="Style_5"/>
    <w:link w:val="Style_23_ch"/>
    <w:uiPriority w:val="39"/>
    <w:pPr>
      <w:ind w:firstLine="0" w:left="0"/>
      <w:jc w:val="left"/>
    </w:pPr>
    <w:rPr>
      <w:rFonts w:ascii="XO Thames" w:hAnsi="XO Thames"/>
      <w:b w:val="1"/>
      <w:sz w:val="28"/>
    </w:rPr>
  </w:style>
  <w:style w:styleId="Style_23_ch" w:type="character">
    <w:name w:val="toc 1"/>
    <w:link w:val="Style_23"/>
    <w:rPr>
      <w:rFonts w:ascii="XO Thames" w:hAnsi="XO Thames"/>
      <w:b w:val="1"/>
      <w:sz w:val="28"/>
    </w:rPr>
  </w:style>
  <w:style w:styleId="Style_24" w:type="paragraph">
    <w:name w:val="Header and Footer"/>
    <w:link w:val="Style_24_ch"/>
    <w:pPr>
      <w:spacing w:line="240" w:lineRule="auto"/>
      <w:ind/>
      <w:jc w:val="both"/>
    </w:pPr>
    <w:rPr>
      <w:rFonts w:ascii="XO Thames" w:hAnsi="XO Thames"/>
      <w:sz w:val="20"/>
    </w:rPr>
  </w:style>
  <w:style w:styleId="Style_24_ch" w:type="character">
    <w:name w:val="Header and Footer"/>
    <w:link w:val="Style_24"/>
    <w:rPr>
      <w:rFonts w:ascii="XO Thames" w:hAnsi="XO Thames"/>
      <w:sz w:val="20"/>
    </w:rPr>
  </w:style>
  <w:style w:styleId="Style_25" w:type="paragraph">
    <w:name w:val="toc 9"/>
    <w:next w:val="Style_5"/>
    <w:link w:val="Style_25_ch"/>
    <w:uiPriority w:val="39"/>
    <w:pPr>
      <w:ind w:firstLine="0" w:left="1600"/>
      <w:jc w:val="left"/>
    </w:pPr>
    <w:rPr>
      <w:rFonts w:ascii="XO Thames" w:hAnsi="XO Thames"/>
      <w:sz w:val="28"/>
    </w:rPr>
  </w:style>
  <w:style w:styleId="Style_25_ch" w:type="character">
    <w:name w:val="toc 9"/>
    <w:link w:val="Style_25"/>
    <w:rPr>
      <w:rFonts w:ascii="XO Thames" w:hAnsi="XO Thames"/>
      <w:sz w:val="28"/>
    </w:rPr>
  </w:style>
  <w:style w:styleId="Style_26" w:type="paragraph">
    <w:name w:val="Body Text 2"/>
    <w:basedOn w:val="Style_5"/>
    <w:link w:val="Style_26_ch"/>
    <w:pPr>
      <w:ind w:right="340"/>
    </w:pPr>
    <w:rPr>
      <w:sz w:val="24"/>
    </w:rPr>
  </w:style>
  <w:style w:styleId="Style_26_ch" w:type="character">
    <w:name w:val="Body Text 2"/>
    <w:basedOn w:val="Style_5_ch"/>
    <w:link w:val="Style_26"/>
    <w:rPr>
      <w:sz w:val="24"/>
    </w:rPr>
  </w:style>
  <w:style w:styleId="Style_27" w:type="paragraph">
    <w:name w:val="toc 8"/>
    <w:next w:val="Style_5"/>
    <w:link w:val="Style_27_ch"/>
    <w:uiPriority w:val="39"/>
    <w:pPr>
      <w:ind w:firstLine="0" w:left="1400"/>
      <w:jc w:val="left"/>
    </w:pPr>
    <w:rPr>
      <w:rFonts w:ascii="XO Thames" w:hAnsi="XO Thames"/>
      <w:sz w:val="28"/>
    </w:rPr>
  </w:style>
  <w:style w:styleId="Style_27_ch" w:type="character">
    <w:name w:val="toc 8"/>
    <w:link w:val="Style_27"/>
    <w:rPr>
      <w:rFonts w:ascii="XO Thames" w:hAnsi="XO Thames"/>
      <w:sz w:val="28"/>
    </w:rPr>
  </w:style>
  <w:style w:styleId="Style_28" w:type="paragraph">
    <w:name w:val="Body Text"/>
    <w:basedOn w:val="Style_5"/>
    <w:link w:val="Style_28_ch"/>
    <w:rPr>
      <w:sz w:val="24"/>
    </w:rPr>
  </w:style>
  <w:style w:styleId="Style_28_ch" w:type="character">
    <w:name w:val="Body Text"/>
    <w:basedOn w:val="Style_5_ch"/>
    <w:link w:val="Style_28"/>
    <w:rPr>
      <w:sz w:val="24"/>
    </w:rPr>
  </w:style>
  <w:style w:styleId="Style_29" w:type="paragraph">
    <w:name w:val="toc 5"/>
    <w:next w:val="Style_5"/>
    <w:link w:val="Style_29_ch"/>
    <w:uiPriority w:val="39"/>
    <w:pPr>
      <w:ind w:firstLine="0" w:left="800"/>
      <w:jc w:val="left"/>
    </w:pPr>
    <w:rPr>
      <w:rFonts w:ascii="XO Thames" w:hAnsi="XO Thames"/>
      <w:sz w:val="28"/>
    </w:rPr>
  </w:style>
  <w:style w:styleId="Style_29_ch" w:type="character">
    <w:name w:val="toc 5"/>
    <w:link w:val="Style_29"/>
    <w:rPr>
      <w:rFonts w:ascii="XO Thames" w:hAnsi="XO Thames"/>
      <w:sz w:val="28"/>
    </w:rPr>
  </w:style>
  <w:style w:styleId="Style_30" w:type="paragraph">
    <w:name w:val="Body Text 3"/>
    <w:basedOn w:val="Style_5"/>
    <w:link w:val="Style_30_ch"/>
    <w:rPr>
      <w:sz w:val="26"/>
    </w:rPr>
  </w:style>
  <w:style w:styleId="Style_30_ch" w:type="character">
    <w:name w:val="Body Text 3"/>
    <w:basedOn w:val="Style_5_ch"/>
    <w:link w:val="Style_30"/>
    <w:rPr>
      <w:sz w:val="26"/>
    </w:rPr>
  </w:style>
  <w:style w:styleId="Style_31" w:type="paragraph">
    <w:name w:val="Subtitle"/>
    <w:next w:val="Style_5"/>
    <w:link w:val="Style_31_ch"/>
    <w:uiPriority w:val="11"/>
    <w:qFormat/>
    <w:pPr>
      <w:ind/>
      <w:jc w:val="both"/>
    </w:pPr>
    <w:rPr>
      <w:rFonts w:ascii="XO Thames" w:hAnsi="XO Thames"/>
      <w:i w:val="1"/>
      <w:sz w:val="24"/>
    </w:rPr>
  </w:style>
  <w:style w:styleId="Style_31_ch" w:type="character">
    <w:name w:val="Subtitle"/>
    <w:link w:val="Style_31"/>
    <w:rPr>
      <w:rFonts w:ascii="XO Thames" w:hAnsi="XO Thames"/>
      <w:i w:val="1"/>
      <w:sz w:val="24"/>
    </w:rPr>
  </w:style>
  <w:style w:styleId="Style_32" w:type="paragraph">
    <w:name w:val="Title"/>
    <w:next w:val="Style_5"/>
    <w:link w:val="Style_32_ch"/>
    <w:uiPriority w:val="10"/>
    <w:qFormat/>
    <w:pPr>
      <w:spacing w:after="567" w:before="567"/>
      <w:ind/>
      <w:jc w:val="center"/>
    </w:pPr>
    <w:rPr>
      <w:rFonts w:ascii="XO Thames" w:hAnsi="XO Thames"/>
      <w:b w:val="1"/>
      <w:caps w:val="1"/>
      <w:sz w:val="40"/>
    </w:rPr>
  </w:style>
  <w:style w:styleId="Style_32_ch" w:type="character">
    <w:name w:val="Title"/>
    <w:link w:val="Style_32"/>
    <w:rPr>
      <w:rFonts w:ascii="XO Thames" w:hAnsi="XO Thames"/>
      <w:b w:val="1"/>
      <w:caps w:val="1"/>
      <w:sz w:val="40"/>
    </w:rPr>
  </w:style>
  <w:style w:styleId="Style_33" w:type="paragraph">
    <w:name w:val="heading 4"/>
    <w:basedOn w:val="Style_5"/>
    <w:next w:val="Style_5"/>
    <w:link w:val="Style_33_ch"/>
    <w:uiPriority w:val="9"/>
    <w:qFormat/>
    <w:pPr>
      <w:keepNext w:val="1"/>
      <w:ind w:right="-392"/>
      <w:outlineLvl w:val="3"/>
    </w:pPr>
    <w:rPr>
      <w:sz w:val="26"/>
    </w:rPr>
  </w:style>
  <w:style w:styleId="Style_33_ch" w:type="character">
    <w:name w:val="heading 4"/>
    <w:basedOn w:val="Style_5_ch"/>
    <w:link w:val="Style_33"/>
    <w:rPr>
      <w:sz w:val="26"/>
    </w:rPr>
  </w:style>
  <w:style w:styleId="Style_34" w:type="paragraph">
    <w:name w:val="Balloon Text"/>
    <w:basedOn w:val="Style_5"/>
    <w:link w:val="Style_34_ch"/>
    <w:rPr>
      <w:rFonts w:ascii="Tahoma" w:hAnsi="Tahoma"/>
      <w:sz w:val="16"/>
    </w:rPr>
  </w:style>
  <w:style w:styleId="Style_34_ch" w:type="character">
    <w:name w:val="Balloon Text"/>
    <w:basedOn w:val="Style_5_ch"/>
    <w:link w:val="Style_34"/>
    <w:rPr>
      <w:rFonts w:ascii="Tahoma" w:hAnsi="Tahoma"/>
      <w:sz w:val="16"/>
    </w:rPr>
  </w:style>
  <w:style w:styleId="Style_35" w:type="paragraph">
    <w:name w:val="heading 2"/>
    <w:basedOn w:val="Style_5"/>
    <w:next w:val="Style_5"/>
    <w:link w:val="Style_35_ch"/>
    <w:uiPriority w:val="9"/>
    <w:qFormat/>
    <w:pPr>
      <w:keepNext w:val="1"/>
      <w:ind/>
      <w:outlineLvl w:val="1"/>
    </w:pPr>
    <w:rPr>
      <w:smallCaps w:val="1"/>
      <w:sz w:val="24"/>
    </w:rPr>
  </w:style>
  <w:style w:styleId="Style_35_ch" w:type="character">
    <w:name w:val="heading 2"/>
    <w:basedOn w:val="Style_5_ch"/>
    <w:link w:val="Style_35"/>
    <w:rPr>
      <w:smallCaps w:val="1"/>
      <w:sz w:val="24"/>
    </w:rPr>
  </w:style>
  <w:style w:styleId="Style_36" w:type="paragraph">
    <w:name w:val="Body Text Indent 3"/>
    <w:basedOn w:val="Style_5"/>
    <w:link w:val="Style_36_ch"/>
    <w:pPr>
      <w:ind w:firstLine="851" w:left="0"/>
    </w:pPr>
    <w:rPr>
      <w:sz w:val="28"/>
    </w:rPr>
  </w:style>
  <w:style w:styleId="Style_36_ch" w:type="character">
    <w:name w:val="Body Text Indent 3"/>
    <w:basedOn w:val="Style_5_ch"/>
    <w:link w:val="Style_36"/>
    <w:rPr>
      <w:sz w:val="28"/>
    </w:rPr>
  </w:style>
  <w:style w:styleId="Style_37" w:type="paragraph">
    <w:name w:val="heading 6"/>
    <w:basedOn w:val="Style_5"/>
    <w:next w:val="Style_5"/>
    <w:link w:val="Style_37_ch"/>
    <w:uiPriority w:val="9"/>
    <w:qFormat/>
    <w:pPr>
      <w:keepNext w:val="1"/>
      <w:ind/>
      <w:outlineLvl w:val="5"/>
    </w:pPr>
    <w:rPr>
      <w:sz w:val="26"/>
    </w:rPr>
  </w:style>
  <w:style w:styleId="Style_37_ch" w:type="character">
    <w:name w:val="heading 6"/>
    <w:basedOn w:val="Style_5_ch"/>
    <w:link w:val="Style_37"/>
    <w:rPr>
      <w:sz w:val="26"/>
    </w:rPr>
  </w:style>
  <w:style w:styleId="Style_38" w:type="table">
    <w:name w:val="Table Grid"/>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1" Target="numbering.xml" Type="http://schemas.openxmlformats.org/officeDocument/2006/relationships/numbering"/>
  <Relationship Id="rId10" Target="theme/theme1.xml" Type="http://schemas.openxmlformats.org/officeDocument/2006/relationships/theme"/>
  <Relationship Id="rId9" Target="webSettings.xml" Type="http://schemas.openxmlformats.org/officeDocument/2006/relationships/webSettings"/>
  <Relationship Id="rId8" Target="stylesWithEffects.xml" Type="http://schemas.microsoft.com/office/2007/relationships/stylesWithEffects"/>
  <Relationship Id="rId7" Target="styles.xml" Type="http://schemas.openxmlformats.org/officeDocument/2006/relationships/styles"/>
  <Relationship Id="rId6" Target="settings.xml" Type="http://schemas.openxmlformats.org/officeDocument/2006/relationships/settings"/>
  <Relationship Id="rId5" Target="fontTable.xml" Type="http://schemas.openxmlformats.org/officeDocument/2006/relationships/fontTable"/>
  <Relationship Id="rId4" Target="media/1.emf" Type="http://schemas.openxmlformats.org/officeDocument/2006/relationships/image"/>
  <Relationship Id="rId3" Target="footer3.xml" Type="http://schemas.openxmlformats.org/officeDocument/2006/relationships/footer"/>
  <Relationship Id="rId2" Target="footer2.xml" Type="http://schemas.openxmlformats.org/officeDocument/2006/relationships/footer"/>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2025-09-23T07:38:41Z</dcterms:modified>
</cp:coreProperties>
</file>